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lang w:eastAsia="zh-CN"/>
        </w:rPr>
        <w:t>蒙牛乳业奶粉潮州工厂空调泡沫风柜及高耗能电机更换项目</w:t>
      </w: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蒙牛乳业奶粉潮州工厂空调泡沫风柜及高耗能电机更换项目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一、项目编号：MNCGJH-20250910-0024</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蒙牛乳业奶粉潮州工厂空调泡沫风柜及高耗能电机更换项目</w:t>
      </w:r>
    </w:p>
    <w:p w14:paraId="69F8A0B4">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43E1D5B0">
      <w:pPr>
        <w:adjustRightInd w:val="0"/>
        <w:snapToGrid w:val="0"/>
        <w:spacing w:line="360" w:lineRule="auto"/>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雅士利潮州工厂为贯彻集团对安全管理与设备能效的统一要求，现申请对潮州工厂</w:t>
      </w:r>
      <w:r>
        <w:rPr>
          <w:rFonts w:hint="eastAsia" w:ascii="仿宋" w:hAnsi="仿宋" w:eastAsia="仿宋" w:cs="仿宋"/>
          <w:b w:val="0"/>
          <w:bCs/>
          <w:sz w:val="28"/>
          <w:szCs w:val="28"/>
          <w:highlight w:val="none"/>
          <w:lang w:val="en-US" w:eastAsia="zh-CN"/>
        </w:rPr>
        <w:t>部分</w:t>
      </w:r>
      <w:r>
        <w:rPr>
          <w:rFonts w:hint="eastAsia" w:ascii="仿宋" w:hAnsi="仿宋" w:eastAsia="仿宋" w:cs="仿宋"/>
          <w:b w:val="0"/>
          <w:bCs/>
          <w:sz w:val="28"/>
          <w:szCs w:val="28"/>
          <w:highlight w:val="none"/>
        </w:rPr>
        <w:t>空调泡沫风柜及高耗能电机进行更换，为2026年生产提供安全、高效、可靠的硬件支持。</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bookmarkStart w:id="3" w:name="_GoBack"/>
      <w:bookmarkEnd w:id="3"/>
    </w:p>
    <w:p w14:paraId="3EDC7FF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7B79BFF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、投标人须具有建设行政主管部门颁发的</w:t>
      </w:r>
      <w:r>
        <w:rPr>
          <w:rFonts w:hint="eastAsia" w:ascii="仿宋" w:hAnsi="仿宋" w:eastAsia="仿宋" w:cs="仿宋"/>
          <w:color w:val="FF0000"/>
          <w:sz w:val="28"/>
          <w:szCs w:val="28"/>
          <w:highlight w:val="none"/>
        </w:rPr>
        <w:t>机电工程施工总承包</w:t>
      </w:r>
      <w:r>
        <w:rPr>
          <w:rFonts w:hint="eastAsia" w:ascii="仿宋" w:hAnsi="仿宋" w:eastAsia="仿宋" w:cs="仿宋"/>
          <w:color w:val="FF0000"/>
          <w:sz w:val="28"/>
          <w:szCs w:val="28"/>
          <w:highlight w:val="none"/>
          <w:lang w:val="en-US" w:eastAsia="zh-CN"/>
        </w:rPr>
        <w:t>乙级</w:t>
      </w:r>
      <w:r>
        <w:rPr>
          <w:rFonts w:hint="eastAsia" w:ascii="仿宋" w:hAnsi="仿宋" w:eastAsia="仿宋" w:cs="仿宋"/>
          <w:sz w:val="28"/>
          <w:szCs w:val="28"/>
          <w:highlight w:val="none"/>
          <w:lang w:val="en-US" w:eastAsia="zh-CN"/>
        </w:rPr>
        <w:t>或</w:t>
      </w:r>
      <w:r>
        <w:rPr>
          <w:rFonts w:hint="eastAsia" w:ascii="仿宋" w:hAnsi="仿宋" w:eastAsia="仿宋" w:cs="仿宋"/>
          <w:color w:val="FF0000"/>
          <w:sz w:val="28"/>
          <w:szCs w:val="28"/>
          <w:highlight w:val="none"/>
        </w:rPr>
        <w:t>建筑机电工程专业承包乙级</w:t>
      </w:r>
      <w:r>
        <w:rPr>
          <w:rFonts w:hint="eastAsia" w:ascii="仿宋" w:hAnsi="仿宋" w:eastAsia="仿宋" w:cs="仿宋"/>
          <w:sz w:val="28"/>
          <w:szCs w:val="28"/>
          <w:highlight w:val="none"/>
        </w:rPr>
        <w:t>及以上资质(以上资质为住建部最新资质要求《住房和城乡建设部关于印发建设工程企业资质管理制度改革方案的通知》)。如投标人还未申办以上资质，投标人须具有建设行政主管部门颁发的</w:t>
      </w:r>
      <w:r>
        <w:rPr>
          <w:rFonts w:hint="eastAsia" w:ascii="仿宋" w:hAnsi="仿宋" w:eastAsia="仿宋" w:cs="仿宋"/>
          <w:color w:val="FF0000"/>
          <w:sz w:val="28"/>
          <w:szCs w:val="28"/>
          <w:highlight w:val="none"/>
        </w:rPr>
        <w:t>机电工程施工总承包</w:t>
      </w:r>
      <w:r>
        <w:rPr>
          <w:rFonts w:hint="eastAsia" w:ascii="仿宋" w:hAnsi="仿宋" w:eastAsia="仿宋" w:cs="仿宋"/>
          <w:color w:val="FF0000"/>
          <w:sz w:val="28"/>
          <w:szCs w:val="28"/>
          <w:highlight w:val="none"/>
          <w:lang w:val="en-US" w:eastAsia="zh-CN"/>
        </w:rPr>
        <w:t>三</w:t>
      </w:r>
      <w:r>
        <w:rPr>
          <w:rFonts w:hint="eastAsia" w:ascii="仿宋" w:hAnsi="仿宋" w:eastAsia="仿宋" w:cs="仿宋"/>
          <w:color w:val="FF0000"/>
          <w:sz w:val="28"/>
          <w:szCs w:val="28"/>
          <w:highlight w:val="none"/>
        </w:rPr>
        <w:t>级</w:t>
      </w:r>
      <w:r>
        <w:rPr>
          <w:rFonts w:hint="eastAsia" w:ascii="仿宋" w:hAnsi="仿宋" w:eastAsia="仿宋" w:cs="仿宋"/>
          <w:sz w:val="28"/>
          <w:szCs w:val="28"/>
          <w:highlight w:val="none"/>
          <w:lang w:val="en-US" w:eastAsia="zh-CN"/>
        </w:rPr>
        <w:t>或</w:t>
      </w:r>
      <w:r>
        <w:rPr>
          <w:rFonts w:hint="eastAsia" w:ascii="仿宋" w:hAnsi="仿宋" w:eastAsia="仿宋" w:cs="仿宋"/>
          <w:color w:val="FF0000"/>
          <w:sz w:val="28"/>
          <w:szCs w:val="28"/>
          <w:highlight w:val="none"/>
        </w:rPr>
        <w:t>建筑机电安装工程专业承包</w:t>
      </w:r>
      <w:r>
        <w:rPr>
          <w:rFonts w:hint="eastAsia" w:ascii="仿宋" w:hAnsi="仿宋" w:eastAsia="仿宋" w:cs="仿宋"/>
          <w:color w:val="FF0000"/>
          <w:sz w:val="28"/>
          <w:szCs w:val="28"/>
          <w:highlight w:val="none"/>
          <w:lang w:val="en-US" w:eastAsia="zh-CN"/>
        </w:rPr>
        <w:t>三</w:t>
      </w:r>
      <w:r>
        <w:rPr>
          <w:rFonts w:hint="eastAsia" w:ascii="仿宋" w:hAnsi="仿宋" w:eastAsia="仿宋" w:cs="仿宋"/>
          <w:color w:val="FF0000"/>
          <w:sz w:val="28"/>
          <w:szCs w:val="28"/>
          <w:highlight w:val="none"/>
        </w:rPr>
        <w:t>级</w:t>
      </w:r>
      <w:r>
        <w:rPr>
          <w:rFonts w:hint="eastAsia" w:ascii="仿宋" w:hAnsi="仿宋" w:eastAsia="仿宋" w:cs="仿宋"/>
          <w:sz w:val="28"/>
          <w:szCs w:val="28"/>
          <w:highlight w:val="none"/>
        </w:rPr>
        <w:t>及以上资质，且资质证书在有效期内</w:t>
      </w:r>
      <w:r>
        <w:rPr>
          <w:rFonts w:hint="eastAsia" w:ascii="仿宋" w:hAnsi="仿宋" w:eastAsia="仿宋" w:cs="仿宋"/>
          <w:sz w:val="28"/>
          <w:szCs w:val="28"/>
          <w:highlight w:val="none"/>
          <w:lang w:eastAsia="zh-CN"/>
        </w:rPr>
        <w:t>；</w:t>
      </w:r>
    </w:p>
    <w:p w14:paraId="229BFCC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、投标人必须具有有效的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安全生产许可证</w:t>
      </w:r>
      <w:r>
        <w:rPr>
          <w:rFonts w:hint="eastAsia" w:ascii="仿宋" w:hAnsi="仿宋" w:eastAsia="仿宋" w:cs="仿宋"/>
          <w:sz w:val="28"/>
          <w:szCs w:val="28"/>
          <w:highlight w:val="none"/>
          <w:lang w:eastAsia="zh-CN"/>
        </w:rPr>
        <w:t>》；</w:t>
      </w:r>
    </w:p>
    <w:p w14:paraId="77DB42F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、投标人在“中华人民共和国应急管理部（https://www.mem.gov.cn/）”近一年内无公开曝光的安全事件</w:t>
      </w:r>
      <w:r>
        <w:rPr>
          <w:rFonts w:hint="eastAsia" w:ascii="仿宋" w:hAnsi="仿宋" w:eastAsia="仿宋" w:cs="仿宋"/>
          <w:sz w:val="28"/>
          <w:szCs w:val="28"/>
          <w:highlight w:val="none"/>
          <w:lang w:eastAsia="zh-CN"/>
        </w:rPr>
        <w:t>；</w:t>
      </w:r>
    </w:p>
    <w:p w14:paraId="3FAECD9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5、投标人必须具有一般纳税人资格；</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（2024年8月1日至今）</w:t>
      </w:r>
      <w:r>
        <w:rPr>
          <w:rFonts w:hint="eastAsia" w:ascii="仿宋" w:hAnsi="仿宋" w:eastAsia="仿宋" w:cs="仿宋"/>
          <w:sz w:val="28"/>
          <w:szCs w:val="28"/>
          <w:highlight w:val="none"/>
        </w:rPr>
        <w:t>任意3个月的依法纳税证明材料和社保缴纳证明材料；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投标人须具有近三年（2022年1月1日至今）2个及以上类似项目业绩（以合同为准）</w:t>
      </w:r>
      <w:r>
        <w:rPr>
          <w:rFonts w:hint="eastAsia" w:ascii="仿宋" w:hAnsi="仿宋" w:eastAsia="仿宋" w:cs="仿宋"/>
          <w:sz w:val="28"/>
          <w:szCs w:val="28"/>
          <w:highlight w:val="none"/>
          <w:lang w:eastAsia="zh-CN"/>
        </w:rPr>
        <w:t>；</w:t>
      </w:r>
    </w:p>
    <w:p w14:paraId="23158801">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8、投标人须具有（2022年至2024年）财务报表或经第三方审计的财务报告（新成立企业提供成立年度至投标截止日的财务审计报告或财务报表）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8"/>
          <w:szCs w:val="28"/>
          <w:highlight w:val="none"/>
          <w:lang w:eastAsia="zh-CN"/>
        </w:rPr>
        <w:t>；</w:t>
      </w:r>
    </w:p>
    <w:p w14:paraId="41B7887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、不接受中粮及蒙牛供应商黑名单（</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rPr>
        <w:t>以蒙牛集团采购招标管理部下发的黑名单为准）的企业参与投标。</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615654D2">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谈判文件、澄清答疑和参与竞谈会议等，过程中如有疑问可咨询平台服务支持，电话4008108111或咨询采购方业务咨询联系人。</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69"/>
      <w:bookmarkStart w:id="1" w:name="OLE_LINK70"/>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8月1日至今任意3个月）在本单位的社保证明材料</w:t>
      </w:r>
      <w:r>
        <w:rPr>
          <w:rFonts w:hint="eastAsia" w:ascii="仿宋" w:hAnsi="仿宋" w:eastAsia="仿宋" w:cs="仿宋"/>
          <w:sz w:val="28"/>
          <w:szCs w:val="28"/>
          <w:highlight w:val="none"/>
        </w:rPr>
        <w:t>。</w:t>
      </w:r>
    </w:p>
    <w:p w14:paraId="5C3BF1C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建设行政主管部门颁发的</w:t>
      </w:r>
      <w:r>
        <w:rPr>
          <w:rFonts w:hint="eastAsia" w:ascii="仿宋" w:hAnsi="仿宋" w:eastAsia="仿宋" w:cs="仿宋"/>
          <w:color w:val="FF0000"/>
          <w:sz w:val="28"/>
          <w:szCs w:val="28"/>
          <w:highlight w:val="none"/>
        </w:rPr>
        <w:t>机电工程施工总承包</w:t>
      </w:r>
      <w:r>
        <w:rPr>
          <w:rFonts w:hint="eastAsia" w:ascii="仿宋" w:hAnsi="仿宋" w:eastAsia="仿宋" w:cs="仿宋"/>
          <w:color w:val="FF0000"/>
          <w:sz w:val="28"/>
          <w:szCs w:val="28"/>
          <w:highlight w:val="none"/>
          <w:lang w:val="en-US" w:eastAsia="zh-CN"/>
        </w:rPr>
        <w:t>乙级</w:t>
      </w:r>
      <w:r>
        <w:rPr>
          <w:rFonts w:hint="eastAsia" w:ascii="仿宋" w:hAnsi="仿宋" w:eastAsia="仿宋" w:cs="仿宋"/>
          <w:sz w:val="28"/>
          <w:szCs w:val="28"/>
          <w:highlight w:val="none"/>
          <w:lang w:val="en-US" w:eastAsia="zh-CN"/>
        </w:rPr>
        <w:t>或</w:t>
      </w:r>
      <w:r>
        <w:rPr>
          <w:rFonts w:hint="eastAsia" w:ascii="仿宋" w:hAnsi="仿宋" w:eastAsia="仿宋" w:cs="仿宋"/>
          <w:color w:val="FF0000"/>
          <w:sz w:val="28"/>
          <w:szCs w:val="28"/>
          <w:highlight w:val="none"/>
        </w:rPr>
        <w:t>建筑机电工程专业承包乙</w:t>
      </w:r>
      <w:r>
        <w:rPr>
          <w:rFonts w:hint="eastAsia" w:ascii="仿宋" w:hAnsi="仿宋" w:eastAsia="仿宋" w:cs="仿宋"/>
          <w:sz w:val="28"/>
          <w:szCs w:val="28"/>
          <w:highlight w:val="none"/>
        </w:rPr>
        <w:t>级及以上资质</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(以上资质为住建部最新资质要求《住房和城乡建设部关于印发建设工程企业资质管理制度改革方案的通知》)。如投标人还未申办以上资质，投标人须提供建设行政主管部门颁发的</w:t>
      </w:r>
      <w:r>
        <w:rPr>
          <w:rFonts w:hint="eastAsia" w:ascii="仿宋" w:hAnsi="仿宋" w:eastAsia="仿宋" w:cs="仿宋"/>
          <w:color w:val="FF0000"/>
          <w:sz w:val="28"/>
          <w:szCs w:val="28"/>
          <w:highlight w:val="none"/>
        </w:rPr>
        <w:t>机电工程施工总承包</w:t>
      </w:r>
      <w:r>
        <w:rPr>
          <w:rFonts w:hint="eastAsia" w:ascii="仿宋" w:hAnsi="仿宋" w:eastAsia="仿宋" w:cs="仿宋"/>
          <w:color w:val="FF0000"/>
          <w:sz w:val="28"/>
          <w:szCs w:val="28"/>
          <w:highlight w:val="none"/>
          <w:lang w:val="en-US" w:eastAsia="zh-CN"/>
        </w:rPr>
        <w:t>三</w:t>
      </w:r>
      <w:r>
        <w:rPr>
          <w:rFonts w:hint="eastAsia" w:ascii="仿宋" w:hAnsi="仿宋" w:eastAsia="仿宋" w:cs="仿宋"/>
          <w:color w:val="FF0000"/>
          <w:sz w:val="28"/>
          <w:szCs w:val="28"/>
          <w:highlight w:val="none"/>
        </w:rPr>
        <w:t>级</w:t>
      </w:r>
      <w:r>
        <w:rPr>
          <w:rFonts w:hint="eastAsia" w:ascii="仿宋" w:hAnsi="仿宋" w:eastAsia="仿宋" w:cs="仿宋"/>
          <w:sz w:val="28"/>
          <w:szCs w:val="28"/>
          <w:highlight w:val="none"/>
          <w:lang w:val="en-US" w:eastAsia="zh-CN"/>
        </w:rPr>
        <w:t>或</w:t>
      </w:r>
      <w:r>
        <w:rPr>
          <w:rFonts w:hint="eastAsia" w:ascii="仿宋" w:hAnsi="仿宋" w:eastAsia="仿宋" w:cs="仿宋"/>
          <w:color w:val="FF0000"/>
          <w:sz w:val="28"/>
          <w:szCs w:val="28"/>
          <w:highlight w:val="none"/>
        </w:rPr>
        <w:t>建筑机电安装工程专业承包</w:t>
      </w:r>
      <w:r>
        <w:rPr>
          <w:rFonts w:hint="eastAsia" w:ascii="仿宋" w:hAnsi="仿宋" w:eastAsia="仿宋" w:cs="仿宋"/>
          <w:color w:val="FF0000"/>
          <w:sz w:val="28"/>
          <w:szCs w:val="28"/>
          <w:highlight w:val="none"/>
          <w:lang w:val="en-US" w:eastAsia="zh-CN"/>
        </w:rPr>
        <w:t>三</w:t>
      </w:r>
      <w:r>
        <w:rPr>
          <w:rFonts w:hint="eastAsia" w:ascii="仿宋" w:hAnsi="仿宋" w:eastAsia="仿宋" w:cs="仿宋"/>
          <w:color w:val="FF0000"/>
          <w:sz w:val="28"/>
          <w:szCs w:val="28"/>
          <w:highlight w:val="none"/>
        </w:rPr>
        <w:t>级</w:t>
      </w:r>
      <w:r>
        <w:rPr>
          <w:rFonts w:hint="eastAsia" w:ascii="仿宋" w:hAnsi="仿宋" w:eastAsia="仿宋" w:cs="仿宋"/>
          <w:sz w:val="28"/>
          <w:szCs w:val="28"/>
          <w:highlight w:val="none"/>
        </w:rPr>
        <w:t>及以上资质</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，且资质证书在有效期内</w:t>
      </w:r>
      <w:r>
        <w:rPr>
          <w:rFonts w:hint="eastAsia" w:ascii="仿宋" w:hAnsi="仿宋" w:eastAsia="仿宋" w:cs="仿宋"/>
          <w:sz w:val="28"/>
          <w:szCs w:val="28"/>
          <w:highlight w:val="none"/>
          <w:lang w:eastAsia="zh-CN"/>
        </w:rPr>
        <w:t>；</w:t>
      </w:r>
    </w:p>
    <w:p w14:paraId="402DE2F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提供有效的《安全生产许可证》；</w:t>
      </w:r>
    </w:p>
    <w:p w14:paraId="13CC0AF6">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（5）提供“中华人民共和国应急管理部（https://www.mem.gov.cn/）”近一年内无公开曝光的安全事件；</w:t>
      </w:r>
    </w:p>
    <w:p w14:paraId="5530C63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6）提供企业一般纳税人认定资格证明材料及</w:t>
      </w:r>
      <w:r>
        <w:rPr>
          <w:rFonts w:hint="eastAsia" w:ascii="仿宋" w:hAnsi="仿宋" w:eastAsia="仿宋" w:cs="仿宋"/>
          <w:color w:val="000000"/>
          <w:sz w:val="28"/>
          <w:szCs w:val="28"/>
          <w:highlight w:val="none"/>
        </w:rPr>
        <w:t>提供已开出税率</w:t>
      </w:r>
      <w:r>
        <w:rPr>
          <w:rFonts w:hint="eastAsia" w:ascii="仿宋" w:hAnsi="仿宋" w:eastAsia="仿宋" w:cs="仿宋"/>
          <w:color w:val="000000"/>
          <w:sz w:val="28"/>
          <w:szCs w:val="28"/>
          <w:highlight w:val="none"/>
          <w:lang w:val="en-US" w:eastAsia="zh-CN"/>
        </w:rPr>
        <w:t>13%的</w:t>
      </w:r>
      <w:r>
        <w:rPr>
          <w:rFonts w:hint="eastAsia" w:ascii="仿宋" w:hAnsi="仿宋" w:eastAsia="仿宋" w:cs="仿宋"/>
          <w:sz w:val="28"/>
          <w:szCs w:val="28"/>
          <w:highlight w:val="none"/>
        </w:rPr>
        <w:t>增值税专用发票</w:t>
      </w:r>
      <w:r>
        <w:rPr>
          <w:rFonts w:hint="eastAsia" w:ascii="仿宋" w:hAnsi="仿宋" w:eastAsia="仿宋" w:cs="仿宋"/>
          <w:color w:val="000000"/>
          <w:sz w:val="28"/>
          <w:szCs w:val="28"/>
          <w:highlight w:val="none"/>
        </w:rPr>
        <w:t>复印件</w:t>
      </w:r>
      <w:r>
        <w:rPr>
          <w:rFonts w:hint="eastAsia" w:ascii="仿宋" w:hAnsi="仿宋" w:eastAsia="仿宋" w:cs="仿宋"/>
          <w:color w:val="000000"/>
          <w:sz w:val="28"/>
          <w:szCs w:val="28"/>
          <w:highlight w:val="none"/>
          <w:lang w:eastAsia="zh-CN"/>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提供企业最近1年（2024年8月1日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29BB2E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（10）提供本企业未被列入国家企业信用信息公示系统（http://www.gsxt.gov.cn/index.html）严重违法失信企业名单的证明材料。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（11）提供保密承诺书。（附件2）</w:t>
      </w:r>
    </w:p>
    <w:p w14:paraId="2D96351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（12）提供非联合体形式参与，及如中标本项目不进行分包或转包承诺书。（附件3）</w:t>
      </w:r>
    </w:p>
    <w:p w14:paraId="3B03BE99">
      <w:pPr>
        <w:adjustRightInd w:val="0"/>
        <w:snapToGrid w:val="0"/>
        <w:spacing w:line="360" w:lineRule="auto"/>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关于聘用蒙牛在职人员亲属（含特定关系人）及离职人员的告知函。（附件4和附件5）</w:t>
      </w:r>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4F535844">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w:t>
      </w:r>
      <w:r>
        <w:rPr>
          <w:rFonts w:hint="eastAsia" w:ascii="仿宋" w:hAnsi="仿宋" w:eastAsia="仿宋" w:cs="仿宋"/>
          <w:color w:val="000000"/>
          <w:sz w:val="28"/>
          <w:szCs w:val="28"/>
          <w:highlight w:val="none"/>
          <w:lang w:eastAsia="zh-CN"/>
        </w:rPr>
        <w:t>谈判文件</w:t>
      </w:r>
      <w:r>
        <w:rPr>
          <w:rFonts w:hint="eastAsia" w:ascii="仿宋" w:hAnsi="仿宋" w:eastAsia="仿宋" w:cs="仿宋"/>
          <w:color w:val="000000"/>
          <w:sz w:val="28"/>
          <w:szCs w:val="28"/>
          <w:highlight w:val="none"/>
        </w:rPr>
        <w:t>（仅作为发放谈判文件的依据）。</w:t>
      </w:r>
    </w:p>
    <w:p w14:paraId="736CCC1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7CF9F9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4137D2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分</w:t>
      </w:r>
    </w:p>
    <w:p w14:paraId="52AB8F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w:t>
      </w:r>
      <w:r>
        <w:rPr>
          <w:rFonts w:hint="eastAsia" w:ascii="仿宋" w:hAnsi="仿宋" w:eastAsia="仿宋" w:cs="仿宋"/>
          <w:sz w:val="28"/>
          <w:szCs w:val="28"/>
          <w:highlight w:val="none"/>
        </w:rPr>
        <w:t>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w:t>
      </w:r>
      <w:r>
        <w:rPr>
          <w:rFonts w:hint="eastAsia" w:ascii="仿宋" w:hAnsi="仿宋" w:eastAsia="仿宋" w:cs="仿宋"/>
          <w:sz w:val="28"/>
          <w:szCs w:val="28"/>
          <w:highlight w:val="none"/>
        </w:rPr>
        <w:t>，售后不退。（汇款后将回执扫描后上传至蒙牛集团电子采购招标平台）</w:t>
      </w:r>
    </w:p>
    <w:p w14:paraId="6D0B4B3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CFDC9B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497147C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08A2418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29E6CEE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30A4597F">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分</w:t>
      </w:r>
      <w:r>
        <w:rPr>
          <w:rFonts w:hint="eastAsia" w:ascii="仿宋" w:hAnsi="仿宋" w:eastAsia="仿宋" w:cs="仿宋"/>
          <w:sz w:val="28"/>
          <w:szCs w:val="28"/>
          <w:highlight w:val="none"/>
        </w:rPr>
        <w:t>（以发出的谈判文件为准）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9F4E047">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2CBBE7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F2F96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3C33A530">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4608B94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联系方式：13474830806</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10"/>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5、阳光协议</w:t>
      </w: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tbl>
      <w:tblPr>
        <w:tblStyle w:val="11"/>
        <w:tblpPr w:leftFromText="180" w:rightFromText="180" w:vertAnchor="text" w:horzAnchor="page" w:tblpX="1817" w:tblpY="39"/>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3D1C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5D7B2BD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24A59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5AA1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38886284">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1D9BEDB7">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7C17C3F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（采购人名称）</w:t>
      </w:r>
      <w:r>
        <w:rPr>
          <w:rFonts w:hint="eastAsia" w:ascii="仿宋" w:hAnsi="仿宋" w:eastAsia="仿宋" w:cs="仿宋"/>
          <w:sz w:val="28"/>
          <w:szCs w:val="28"/>
          <w:highlight w:val="none"/>
        </w:rPr>
        <w:t>：</w:t>
      </w:r>
    </w:p>
    <w:p w14:paraId="2E48E90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（投标人全称）法定代表人       授权           （全权代表姓名）为全权代表法定代表人，参加贵方组织的            项目竞争性谈判会议，全权处理竞谈活动中的一切事宜。</w:t>
      </w:r>
    </w:p>
    <w:p w14:paraId="293E51D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法定代表人授权委托书有效期____年__月__日至____年__月__日</w:t>
      </w:r>
    </w:p>
    <w:p w14:paraId="27B66B5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535A9C5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法定代表人（签字或印章）： </w:t>
      </w:r>
    </w:p>
    <w:p w14:paraId="01CE7C4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20B4238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9408C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9" w:hRule="atLeast"/>
          <w:jc w:val="center"/>
        </w:trPr>
        <w:tc>
          <w:tcPr>
            <w:tcW w:w="5215" w:type="dxa"/>
            <w:vAlign w:val="center"/>
          </w:tcPr>
          <w:p w14:paraId="2E30EF4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0FC6E62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3246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76C1F4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9179BF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302AE83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2F7A4A2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28"/>
          <w:szCs w:val="28"/>
          <w:highlight w:val="none"/>
          <w:lang w:val="en-US" w:eastAsia="zh-CN"/>
        </w:rPr>
        <w:t>（采购人名称）</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r>
        <w:rPr>
          <w:rFonts w:hint="eastAsia" w:ascii="仿宋" w:hAnsi="仿宋" w:eastAsia="仿宋" w:cs="仿宋"/>
          <w:color w:val="000000"/>
          <w:kern w:val="0"/>
          <w:sz w:val="28"/>
          <w:szCs w:val="28"/>
          <w:highlight w:val="none"/>
        </w:rPr>
        <w:t>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w:t>
      </w:r>
      <w:r>
        <w:rPr>
          <w:rFonts w:hint="eastAsia" w:ascii="仿宋" w:hAnsi="仿宋" w:eastAsia="仿宋" w:cs="仿宋"/>
          <w:color w:val="000000"/>
          <w:kern w:val="0"/>
          <w:sz w:val="28"/>
          <w:szCs w:val="28"/>
          <w:highlight w:val="none"/>
          <w:lang w:val="en-US" w:eastAsia="zh-CN"/>
        </w:rPr>
        <w:t>谈</w:t>
      </w:r>
      <w:r>
        <w:rPr>
          <w:rFonts w:hint="eastAsia" w:ascii="仿宋" w:hAnsi="仿宋" w:eastAsia="仿宋" w:cs="仿宋"/>
          <w:color w:val="000000"/>
          <w:kern w:val="0"/>
          <w:sz w:val="28"/>
          <w:szCs w:val="28"/>
          <w:highlight w:val="none"/>
        </w:rPr>
        <w:t>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、适用原则：本承诺书中合规条款对乙方的要求与承诺书中其他条款不一致的，以对乙方要求更高的条款为准。</w:t>
      </w:r>
    </w:p>
    <w:p w14:paraId="0C3E2CD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3"/>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sz w:val="28"/>
          <w:szCs w:val="28"/>
          <w:highlight w:val="none"/>
          <w:lang w:val="en-US" w:eastAsia="zh-CN"/>
        </w:rPr>
        <w:t>（采购人名称）</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val="en-US" w:eastAsia="zh-CN"/>
        </w:rPr>
        <w:t>（采购人名称）</w:t>
      </w:r>
      <w:r>
        <w:rPr>
          <w:rFonts w:hint="eastAsia" w:ascii="仿宋" w:hAnsi="仿宋" w:eastAsia="仿宋" w:cs="仿宋"/>
          <w:sz w:val="28"/>
          <w:szCs w:val="28"/>
          <w:highlight w:val="none"/>
        </w:rPr>
        <w:t>:</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7DE676F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2E55DFF0">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7EBA15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（采购人名称）</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2AC47FD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lang w:bidi="ar"/>
        </w:rPr>
      </w:pPr>
      <w:r>
        <w:rPr>
          <w:rFonts w:hint="eastAsia" w:ascii="仿宋" w:hAnsi="仿宋" w:eastAsia="仿宋" w:cs="仿宋"/>
          <w:color w:val="000000"/>
          <w:kern w:val="0"/>
          <w:sz w:val="28"/>
          <w:szCs w:val="28"/>
          <w:highlight w:val="none"/>
        </w:rPr>
        <w:t>日期：</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07B6"/>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476230"/>
    <w:rsid w:val="0F977B31"/>
    <w:rsid w:val="0F991612"/>
    <w:rsid w:val="0F9E3BE6"/>
    <w:rsid w:val="110F5944"/>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614581"/>
    <w:rsid w:val="17A34DD2"/>
    <w:rsid w:val="17E52734"/>
    <w:rsid w:val="17E76CE2"/>
    <w:rsid w:val="18555B48"/>
    <w:rsid w:val="18652676"/>
    <w:rsid w:val="188047C9"/>
    <w:rsid w:val="18C83CEE"/>
    <w:rsid w:val="1902112B"/>
    <w:rsid w:val="19D84FCE"/>
    <w:rsid w:val="1A18361C"/>
    <w:rsid w:val="1A205250"/>
    <w:rsid w:val="1A4B0D84"/>
    <w:rsid w:val="1A551723"/>
    <w:rsid w:val="1AEE4A81"/>
    <w:rsid w:val="1B8906FC"/>
    <w:rsid w:val="1BA234E8"/>
    <w:rsid w:val="1BD25CF1"/>
    <w:rsid w:val="1BE05733"/>
    <w:rsid w:val="1BEE0CC5"/>
    <w:rsid w:val="1C966988"/>
    <w:rsid w:val="1CD92A86"/>
    <w:rsid w:val="1D045E7E"/>
    <w:rsid w:val="1D2E6FE8"/>
    <w:rsid w:val="1D86279B"/>
    <w:rsid w:val="1D8C0DA1"/>
    <w:rsid w:val="1DBB4C44"/>
    <w:rsid w:val="1DF24184"/>
    <w:rsid w:val="1E2419E1"/>
    <w:rsid w:val="1E363DC4"/>
    <w:rsid w:val="1E5F7ACC"/>
    <w:rsid w:val="1EC7494E"/>
    <w:rsid w:val="1F83778A"/>
    <w:rsid w:val="1F9574BD"/>
    <w:rsid w:val="202A53EE"/>
    <w:rsid w:val="202D76F6"/>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4F46A34"/>
    <w:rsid w:val="25046B91"/>
    <w:rsid w:val="25167458"/>
    <w:rsid w:val="253D3FEF"/>
    <w:rsid w:val="257E7E31"/>
    <w:rsid w:val="27A110F5"/>
    <w:rsid w:val="281C3D2E"/>
    <w:rsid w:val="28550A37"/>
    <w:rsid w:val="286745BE"/>
    <w:rsid w:val="286D4544"/>
    <w:rsid w:val="28992513"/>
    <w:rsid w:val="289F0154"/>
    <w:rsid w:val="29B41A1A"/>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6B532D"/>
    <w:rsid w:val="2ED300D8"/>
    <w:rsid w:val="2EDC2A13"/>
    <w:rsid w:val="2EEB4016"/>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8B1AFB"/>
    <w:rsid w:val="3AF17DC9"/>
    <w:rsid w:val="3B950B19"/>
    <w:rsid w:val="3BA1126C"/>
    <w:rsid w:val="3C2E7B2E"/>
    <w:rsid w:val="3C4E3C34"/>
    <w:rsid w:val="3C7301F1"/>
    <w:rsid w:val="3CAF3C5D"/>
    <w:rsid w:val="3D48526E"/>
    <w:rsid w:val="3D792ACB"/>
    <w:rsid w:val="3D8C6A13"/>
    <w:rsid w:val="3E815973"/>
    <w:rsid w:val="3F1F42B7"/>
    <w:rsid w:val="3F7240EB"/>
    <w:rsid w:val="3FA0014F"/>
    <w:rsid w:val="3FAF1C5C"/>
    <w:rsid w:val="3FB2368A"/>
    <w:rsid w:val="3FCD8C1D"/>
    <w:rsid w:val="3FDB4108"/>
    <w:rsid w:val="402276E5"/>
    <w:rsid w:val="4025625A"/>
    <w:rsid w:val="40B966CD"/>
    <w:rsid w:val="40F93CAA"/>
    <w:rsid w:val="41452FE4"/>
    <w:rsid w:val="41464513"/>
    <w:rsid w:val="42044C81"/>
    <w:rsid w:val="42915828"/>
    <w:rsid w:val="42D93D56"/>
    <w:rsid w:val="439F76B3"/>
    <w:rsid w:val="43C95804"/>
    <w:rsid w:val="44864AA0"/>
    <w:rsid w:val="44A66E7C"/>
    <w:rsid w:val="44BC6AA8"/>
    <w:rsid w:val="44E26E48"/>
    <w:rsid w:val="44FA5A84"/>
    <w:rsid w:val="45EF45C4"/>
    <w:rsid w:val="46052D96"/>
    <w:rsid w:val="468477C0"/>
    <w:rsid w:val="468679DC"/>
    <w:rsid w:val="46A0383F"/>
    <w:rsid w:val="46DB7B00"/>
    <w:rsid w:val="46EE6F59"/>
    <w:rsid w:val="48D26E94"/>
    <w:rsid w:val="492F1BC7"/>
    <w:rsid w:val="4981448B"/>
    <w:rsid w:val="49870082"/>
    <w:rsid w:val="49AD702E"/>
    <w:rsid w:val="49C96F4B"/>
    <w:rsid w:val="49DC7359"/>
    <w:rsid w:val="4A751D13"/>
    <w:rsid w:val="4ACB3DE1"/>
    <w:rsid w:val="4BAC561A"/>
    <w:rsid w:val="4C0439C1"/>
    <w:rsid w:val="4D9C1893"/>
    <w:rsid w:val="4DB94ADB"/>
    <w:rsid w:val="4E4966F7"/>
    <w:rsid w:val="4E5D3C82"/>
    <w:rsid w:val="4EAC6863"/>
    <w:rsid w:val="4EFD4238"/>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175CA3"/>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89F6028"/>
    <w:rsid w:val="590D2BD1"/>
    <w:rsid w:val="5A1703F0"/>
    <w:rsid w:val="5A3103F4"/>
    <w:rsid w:val="5A695504"/>
    <w:rsid w:val="5A876881"/>
    <w:rsid w:val="5B0C46C9"/>
    <w:rsid w:val="5B1A0180"/>
    <w:rsid w:val="5B211D7B"/>
    <w:rsid w:val="5B320CFC"/>
    <w:rsid w:val="5BC9255F"/>
    <w:rsid w:val="5BF210F2"/>
    <w:rsid w:val="5C8345EE"/>
    <w:rsid w:val="5CDB6FB7"/>
    <w:rsid w:val="5DA93220"/>
    <w:rsid w:val="5DD040EF"/>
    <w:rsid w:val="5E1333F6"/>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141A74"/>
    <w:rsid w:val="634B430F"/>
    <w:rsid w:val="635D77D1"/>
    <w:rsid w:val="63D22876"/>
    <w:rsid w:val="63D47C8E"/>
    <w:rsid w:val="63F05E0D"/>
    <w:rsid w:val="64137491"/>
    <w:rsid w:val="6435147D"/>
    <w:rsid w:val="64697AA1"/>
    <w:rsid w:val="649E5D3C"/>
    <w:rsid w:val="64EA4CE8"/>
    <w:rsid w:val="65107E6C"/>
    <w:rsid w:val="653C4D87"/>
    <w:rsid w:val="6580104F"/>
    <w:rsid w:val="659D3354"/>
    <w:rsid w:val="65AE5CBF"/>
    <w:rsid w:val="66106E6A"/>
    <w:rsid w:val="6646550E"/>
    <w:rsid w:val="66C43787"/>
    <w:rsid w:val="67ED4707"/>
    <w:rsid w:val="684A0189"/>
    <w:rsid w:val="695569BF"/>
    <w:rsid w:val="696C7ACD"/>
    <w:rsid w:val="69D81B09"/>
    <w:rsid w:val="69F866F7"/>
    <w:rsid w:val="69FB553B"/>
    <w:rsid w:val="6A05798A"/>
    <w:rsid w:val="6A3274DB"/>
    <w:rsid w:val="6A37428B"/>
    <w:rsid w:val="6A467039"/>
    <w:rsid w:val="6A495DD7"/>
    <w:rsid w:val="6AC95853"/>
    <w:rsid w:val="6AE22017"/>
    <w:rsid w:val="6B5925FD"/>
    <w:rsid w:val="6BA76591"/>
    <w:rsid w:val="6BD72F6C"/>
    <w:rsid w:val="6C951F56"/>
    <w:rsid w:val="6CF8394D"/>
    <w:rsid w:val="6D214429"/>
    <w:rsid w:val="6D346506"/>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C553F"/>
    <w:rsid w:val="71D02427"/>
    <w:rsid w:val="71FA5FC9"/>
    <w:rsid w:val="721245BB"/>
    <w:rsid w:val="72206C66"/>
    <w:rsid w:val="7234149C"/>
    <w:rsid w:val="72443C1B"/>
    <w:rsid w:val="738C7F28"/>
    <w:rsid w:val="73A51698"/>
    <w:rsid w:val="73B1259F"/>
    <w:rsid w:val="73F27641"/>
    <w:rsid w:val="7448595E"/>
    <w:rsid w:val="746057D2"/>
    <w:rsid w:val="748A1855"/>
    <w:rsid w:val="74B370EA"/>
    <w:rsid w:val="74B86703"/>
    <w:rsid w:val="74BB18E9"/>
    <w:rsid w:val="75175D2D"/>
    <w:rsid w:val="75E9502A"/>
    <w:rsid w:val="76505678"/>
    <w:rsid w:val="76BE191E"/>
    <w:rsid w:val="76D10EBE"/>
    <w:rsid w:val="76F224C3"/>
    <w:rsid w:val="77446B53"/>
    <w:rsid w:val="775F6C6A"/>
    <w:rsid w:val="77874C68"/>
    <w:rsid w:val="77996AA7"/>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0A4AE8"/>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10119</Words>
  <Characters>10809</Characters>
  <Lines>83</Lines>
  <Paragraphs>23</Paragraphs>
  <TotalTime>2</TotalTime>
  <ScaleCrop>false</ScaleCrop>
  <LinksUpToDate>false</LinksUpToDate>
  <CharactersWithSpaces>11357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2025-09-13T02:00:53Z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01FC761C3CA24E82B2CEF5A52A2FD977_13</vt:lpwstr>
  </property>
  <property fmtid="{D5CDD505-2E9C-101B-9397-08002B2CF9AE}" pid="4" name="KSOTemplateDocerSaveRecord">
    <vt:lpwstr>eyJoZGlkIjoiOTJiNDU3ZjRiNTczNDA2OTc1MDkwNDIzZWI1OWU2NDYiLCJ1c2VySWQiOiI1MzMwNzM1MjIifQ==</vt:lpwstr>
  </property>
</Properties>
</file>