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8FBCB">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2025年11月全球研发中心检验设备询比价项目</w:t>
      </w:r>
    </w:p>
    <w:p w14:paraId="0E108AB3">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FF0000"/>
          <w:kern w:val="0"/>
          <w:sz w:val="36"/>
          <w:szCs w:val="36"/>
          <w:highlight w:val="none"/>
        </w:rPr>
      </w:pPr>
      <w:r>
        <w:rPr>
          <w:rFonts w:hint="eastAsia" w:ascii="仿宋" w:hAnsi="仿宋" w:eastAsia="仿宋" w:cs="仿宋"/>
          <w:b/>
          <w:bCs/>
          <w:kern w:val="0"/>
          <w:sz w:val="36"/>
          <w:szCs w:val="36"/>
          <w:highlight w:val="none"/>
        </w:rPr>
        <w:t>信息公告</w:t>
      </w:r>
    </w:p>
    <w:p w14:paraId="54E6E190">
      <w:pPr>
        <w:pStyle w:val="3"/>
        <w:rPr>
          <w:rFonts w:hint="eastAsia"/>
        </w:rPr>
      </w:pPr>
      <w:r>
        <w:rPr>
          <w:rFonts w:hint="eastAsia" w:ascii="仿宋_GB2312" w:hAnsi="宋体" w:eastAsia="仿宋_GB2312"/>
          <w:color w:val="000000" w:themeColor="text1"/>
          <w:sz w:val="28"/>
          <w:szCs w:val="28"/>
          <w:highlight w:val="none"/>
          <w14:textFill>
            <w14:solidFill>
              <w14:schemeClr w14:val="tx1"/>
            </w14:solidFill>
          </w14:textFill>
        </w:rPr>
        <w:t>内蒙古蒙牛乳业（集团）股份有限公司</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就</w:t>
      </w:r>
      <w:r>
        <w:rPr>
          <w:rFonts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14:textFill>
            <w14:solidFill>
              <w14:schemeClr w14:val="tx1"/>
            </w14:solidFill>
          </w14:textFill>
        </w:rPr>
        <w:t>2025年11月全球研发中心检验设备询比价</w:t>
      </w:r>
      <w:r>
        <w:rPr>
          <w:rFonts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项目进行询比价, 欢迎符合资格条件的供应商参加。</w:t>
      </w:r>
    </w:p>
    <w:p w14:paraId="7437A5F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sz w:val="28"/>
          <w:szCs w:val="28"/>
          <w:highlight w:val="none"/>
        </w:rPr>
        <w:t>项目编号：</w:t>
      </w:r>
      <w:r>
        <w:rPr>
          <w:rFonts w:hint="eastAsia" w:ascii="仿宋" w:hAnsi="仿宋" w:eastAsia="仿宋" w:cs="仿宋"/>
          <w:b w:val="0"/>
          <w:bCs/>
          <w:sz w:val="28"/>
          <w:szCs w:val="28"/>
          <w:highlight w:val="none"/>
        </w:rPr>
        <w:t>MNCGJH-20251107-0006</w:t>
      </w:r>
    </w:p>
    <w:p w14:paraId="6623CC3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sz w:val="28"/>
          <w:szCs w:val="28"/>
          <w:highlight w:val="none"/>
        </w:rPr>
        <w:t>项目名称：</w:t>
      </w:r>
      <w:r>
        <w:rPr>
          <w:rFonts w:hint="eastAsia" w:ascii="仿宋" w:hAnsi="仿宋" w:eastAsia="仿宋" w:cs="仿宋"/>
          <w:b w:val="0"/>
          <w:bCs/>
          <w:sz w:val="28"/>
          <w:szCs w:val="28"/>
          <w:highlight w:val="none"/>
        </w:rPr>
        <w:t>2025年11月全球研发中心检验设备询比价项目</w:t>
      </w:r>
    </w:p>
    <w:p w14:paraId="0F9B7843">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sz w:val="28"/>
          <w:szCs w:val="28"/>
          <w:highlight w:val="none"/>
        </w:rPr>
        <w:t>三、项目概况：</w:t>
      </w:r>
      <w:r>
        <w:rPr>
          <w:rFonts w:hint="eastAsia" w:ascii="仿宋" w:hAnsi="仿宋" w:eastAsia="仿宋" w:cs="仿宋"/>
          <w:sz w:val="28"/>
          <w:szCs w:val="28"/>
          <w:highlight w:val="none"/>
          <w:lang w:val="en-US" w:eastAsia="zh-CN"/>
        </w:rPr>
        <w:t>为了满足全球研发创新中心2025年第四季度实验室设备询比价采购的需求，通过询比价方式进行设备采招。</w:t>
      </w:r>
    </w:p>
    <w:p w14:paraId="2B3F141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本项目分为二个标段：共涉及3台设备</w:t>
      </w:r>
    </w:p>
    <w:p w14:paraId="056188F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标段一：定制化设备1台</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1239"/>
        <w:gridCol w:w="924"/>
        <w:gridCol w:w="2836"/>
        <w:gridCol w:w="2484"/>
      </w:tblGrid>
      <w:tr w14:paraId="32EE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D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需求目的</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进口or国产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（品牌）</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1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需求参数</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售后服务要求</w:t>
            </w:r>
          </w:p>
        </w:tc>
      </w:tr>
      <w:tr w14:paraId="1059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7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自动化高通量工作站</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2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无菌环境下，通过实现高通量克隆挑取，稳定的多通道（8通道、96通道）液体处理、自动化抓板的实验操作，满足微生态研究中的大批量分菌、菌种育种、功能筛选等流程复杂且高重复性的研发需求，同时满足分子生物学、合成生物学相关的质粒构建，在线定量测定等精细操作的研发需求。</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9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3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1.*主机台面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1.1.*工作站台面可平面放置至少48块标准SBS格式孔板，并具有动态台面布局功能，以满足用户不断变化的实验需要。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1.2.*配备铝合金柜（带面板）*1；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1.3.*配置耗材堆栈、载架，能对吸头、孔板、圆形平皿进行存储。配置平皿堆栈，可存放至少48块平皿；配置PCR板、微孔板堆栈，可存放至少75块微孔板或30块深孔板；配置品牌不同规格吸头载架；配置2ml EP管载架，可至少存放70个2ml EP管；配置15ml EP管载架，可至少存放15个15ml EP管；配置大体积试剂槽载架，至少可存放8位试剂槽。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1.4.板位免校准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1.5.*具有强大的整合能力，在台面左、右、后方均可整合第三方设备。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1.6.*配有商用品牌台式电脑，非组装机，配备i7处理器、32GB运行内存、固态硬盘512GB及以上，Win 10 或以上 64 位企业版或专业版系统。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1.7.废弃吸头的垃圾站为独立式设计，不占用台面板位数，不会造成板位数减少。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1.8.主机平台具有声光双重报警系统，主机平台配备工作状态指示灯，具有安全防护面板，带有暂停按钮，可在任一时间进行暂停，处理异常事件。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内置触摸屏界面，为用户提供清晰和3D图形化的说明和提醒、可进行日常维护程序和每日使用程序的选择、可进行仪器内部开关灯等快速操作，以满足避光试剂保存和避光实验的进行、具有实验恢复功能选择，可一键恢复继续上次中断的步骤运行实验、同时可进行实验过程中的各种报警信息和提示的快速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1.10.系统内置监控摄像头，可用于评估实际布局与预期布局的差异或者用于记录实验过程。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2.*移液模块</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*配备至少具有1个8通道移液模块、1个96通道移液模块、1个独立移板机械手模块。</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*移液通道均为气体驱动原理，整个系统无泵阀结构，不使用系统工作液。</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*8通道移液模块和96通道移液模块均具备液面探测功能，在无试剂或样本时可实时报警提示。</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*设备在X、Y、Z轴方向的定位精度为±0.1mm，保证了对96孔板和384孔板整板移液时的精准定位。</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*可装配国产吸头，每盒吸头价格≤30元/盒，实现稳定运行并提供售后；。</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所有机械臂均具有一键式位置记忆功能，无需初始化即可运行，并可为每个机械臂设置最快速有效的运行路线。</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各机械臂相互独立，可实现挑克隆、加样、移板同时进行。</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8通道移液模块台面无盲区。</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移液模块在卸吸头过程中，具有避免气溶胶产生、污染台面的设计。</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8通道移液模块和96通道移液模块能保证在移液过程中吸头与通道保持高度的气密性，吸头不发生形变可重复使用。</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8通道移液模块和96通道移液模块能保证吸头精确装载和定位。</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8通道移液模块和96通道移液模块可共用同型号吸头。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2.1.*8通道移液模块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2.1.1.*移液体积范围至少包含1～1000μl；移液精度：CV值在1µL≤5%，在1000µL≤1%。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2.1.2.*8个独立的加样通道，采用空气置换的加样原理。每个独立移液通道都具有独立的电机控制系统，一个通道损坏时，其它通道的使用不受影响。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2.1.3.*独立移液通道内置压力传感器，可以感应移液过程中吸头堵塞、气泡、移液体积不准确等故障并实时报警，提示用户处理后可继续运行。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2.1.4.*相邻独立移液通道间距可调，可同时并行使用不同规格的吸头，每个通道的移液体积也可不相等。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2.1.5.*双液面探测功能：电容、电压双探测。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2.1.6.独立8通道同时展开时，相邻通道展开间距最大可达400mm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2.1.7.独立通道可以保证在移取酒精等挥发性液体时，可通过参数调节，保证不发生滴落。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2.1.8.可精确探测微量液体，有效降低样本和试剂的损耗，对于96孔U底板的最小探测体积≤2ul。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2.1.9.独立移液通道的各通道可以同时在Y、Z轴进行非统一、非对称的移液（Y轴：工作站台面的纵深方向；Z轴：溶液的深浅方向）。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2.1.10.独立移液通道的各通道可同时不等间距展开，实现不等间距移液。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2.2.*96通道移液模块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2.2.1.*具有独立的96通道移液机械臂，移液体积范围至少包含：1-1000μL。移液精准： CV值在1µL≤5%，在1000µL≤1%。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2.2.2.*96通道移液模块与8通道移液模块吸头通用，可进行整板、整行、整列以及单孔加样，以及若干行或若干列的移液。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2.2.3.96通道都具备液面探测功能。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2.3.独立移板模块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2.3.1.移板模块360度可旋转，可承重450g。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2.3.2.移板模块，可进行水平方向的旋转和延展，可操作层架式立体储板架，并可直接与高通量储板系统连接。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2.3.3.移板模块可伸出台面进行板子的转移，也可在台面内覆盖，抓板手可抓取90mm圆形平皿，SBS板。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3.*自动克隆挑取模块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3.1.*可用一次性移液吸头挑取平皿培养基上的菌落并转移到液体培养基中。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3.2.*可挑取细菌、酵母、藻类、真菌、菌丝体等。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3.3.*图像识别功能，可根据预设参数（大小、间距、区域等）自动或手动选择并挑取菌落。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3.4.*可以探测胶面高度，可沾取、吸取或侧移刮取菌落，接种时可反复吹打混匀。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3.5.*具有克隆追踪功能，即每个克隆来源都有图像记录，并可以导出记录；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3.6.*每小时挑取菌落个数不小于300个；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3.7.每小时挑取菌落个数不小于800个；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3.8.可挑菌落的最小直径0.3mm，菌落间距最小0.8mm。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3.9.克隆挑取模块运行时，96通道移液臂和移板机械臂可同时工作。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4.*温控模块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*配有至少1个温度控制模块，包含4。C、25-42。C温度范围，配备24孔ep管适配器。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配有PCR板适配器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配置ep管开关盖模块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可以额外定制其他规格离心管适配器、固定规格孔板适配器。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5.*HEPA层流罩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5.1.*配有正压层流罩、紫外灭菌灯，配备日光灯，成为一个洁净的空间，保证实验的无菌操作。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具有统一的支架台面和一体化的无菌层流罩，采用包围式结构并负压密封，内置高效HEPA过滤系统，可就地去除气流中的气溶胶等污染成分。正压层流罩风速≥0.3m/s，额定风量≥700m3/h，粒径≥0.3μm时，过滤效率≥99.99%,排出气流达到 ISO 5 级（100 级）洁净度。；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5.3.*配备紫外杀菌灯，紫外灯辐射强度≥75μW/cm2，紫外灭菌灯功率≥8W。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5.4.运行噪音噪音≤65dB；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5.5.带有触屏式自动安全控制器，可实时显示风机转速比、过滤器及紫外灯寿命进度、温湿度等运行参数；具有自动报警功能，在气流过低、过滤器及紫外灯寿命到期、过滤器性能异常时发出报警信息。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5.6.可设置工作站屏蔽门的开门风速和关门风速。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5.7.紫外灯的控制能够与工作站进行交互，并确保工作站的屏蔽门打开时，紫外灯被立即切断。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6.可选触摸屏操作系统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 内置扩展触摸屏操作系统，方便实验人员日常实验操作。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 触摸屏界面可进行日常维护程序和每日使用程序的选择；可进行仪器内部开关灯等快速操作，以满足避光试剂保存和避光实验的进行。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 触摸屏界面，可为用户提供清晰和图形化的说明和提醒，使实验人员可以根据提示操作和确认，确保实验准确无误的进行。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 触摸屏界面具有实验恢复功能选择，可一键恢复继续上次中断的步骤运行实验；同时可进行实验过程中的各种报警信息和提示的快速处理。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7.*控制软件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7.1.*可提供适用性强的液体类别参数和吸液参数，并可根据用户需要做出相应的优化；具有吸液实时监测功能，对移液中的风险进行管控并报警提示，如气泡、凝块、液体不足、漏液等。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7.2.*适合对多种设备控制整合与无缝连接，实现全过程自动化，并有手动或应急操作的功能。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7.3.*仪器可与U盘、光盘或USB数据线连接，满足数据传输备份。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7.4.在程序进行时，可手动中断程序，可操纵机械臂到固定板位（包含垃圾站板位），进行吸放液、排枪头的操作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7.5.能够与实验室信息管理系统（如LIMS）连接，协助提供与系统对接的服务。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7.6.具有3维模拟仿真系统，可立体显示设备台面，可动画预演示实验全过程；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7.7.具有权限设置功能，能够设置多个权限账户。权限人员不能改动、删除数据。程序运行过程中可对一些重要数据进行查询，可在硬盘中存储数据。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7.8.操作软件支持免费升级。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8.文件、培训及售后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*提供设备的结构图、技术说明等相关文件的纸质版。文件应展示和描述设备的详细情况，包括机械、结构和功能。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*技术数据：设备技术说明、详细尺寸、设备描述、安装和空间要求。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*包含安装调试环节的人员培训、投入使用未来3年内每年提供2次现场培训、即时远程指导。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*供应商负责设备的安装，并实施设备调试。供应商应在安装调试期间完成对用户操作人员的培训，包括原理，性能，操作，维修，故障排除等。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*供应商能够协助进行设备运行相关实验方法的设计，并在采购方有需要时提供解决方案。仪器出现故障或使用方法不明确时，可以远程指导使用方操作和使用。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*设备在购买合同签订后60天内主机到货，6个月内配齐所有模块。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*设备免费保修期限一年，质保期内供方免费负责一切非人员破坏性维修。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提供设备IQ/OQ，协助进行PQ服务，配备进行3Q验证的吸头耗材。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国内设有零配件库和维修中心。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供应商保证5年内能方便地采购到所供设备的相关配件，并保证以不高于市场的价格提供优质的零配件。</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8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*提供设备的结构图、技术说明等相关文件的纸质版。文件应展示和描述设备的详细情况，包括机械、结构和功能。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*技术数据：设备技术说明、详细尺寸、设备描述、安装和空间要求。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*供应商负责设备的安装，并实施设备调试。供应商应在安装调试期间完成对用户操作人员的培训，包括原理，性能，操作，维修，故障排除等。此外，至少再提供2次免费现场培训。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*供应商能够协助进行设备运行相关实验方法的设计，并在采购方有需要时提供解决方案。仪器出现故障或使用方法不明确时，可以远程指导使用方操作和使用。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*设备在购买合同签订后2个月内主机到货，6个月内配齐所有模块。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提供设备IQ（isolation）/OQ（operation），协助进行PQ服务，配备进行3Q验证的吸头耗材。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设备免费保修期限一年，质保期内供方免费负责一切非人员破坏性维修。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国内设有零配件库和维修中心。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供应商保证5年内能方便地采购到所供设备的相关配件，并保证以不高于市场的价格提供优质的零配件。</w:t>
            </w:r>
          </w:p>
        </w:tc>
      </w:tr>
    </w:tbl>
    <w:p w14:paraId="3C96BB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p>
    <w:p w14:paraId="0FB85F5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标段二：常规设备2台</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1239"/>
        <w:gridCol w:w="827"/>
        <w:gridCol w:w="2932"/>
        <w:gridCol w:w="2484"/>
      </w:tblGrid>
      <w:tr w14:paraId="6765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C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需求目的</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5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进口or国产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（品牌）</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E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需求参数</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售后服务要求</w:t>
            </w:r>
          </w:p>
        </w:tc>
      </w:tr>
      <w:tr w14:paraId="7D9F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巴氏杀菌发酵池（8孔）</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2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力学性能测试仪器类，用于菌种的筛选及在发酵乳制品中的应用研究，具体用于实验室小批量化料、配料和杀菌发酵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B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D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1.卫生级304不锈钢材质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*2.整体式设计：一个槽体，8孔；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*3.料体容积：单孔5L,圆柱形,容积：20 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4.配套国产搅拌器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*5.温度范围: 常温~100℃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*6.温度精度：±1℃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*7.温度传感器PT-100：一套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*8.加热：内置加热器，水浴加热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9.循环泵： 一式，使得槽体内温度均匀，循环流量500L/H，扬程7米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10.配套可方便移动的槽盖： 一个，盖上有二个开口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11.聚乙烯绝缘保温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12.机架：一套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13.控制柜：一套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14.机架上带脚轮方便设备移动和锁止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15.槽体上部加溢流阀</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7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1、送货到门；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2、附带全部合格资料，包括但不限于中文操作说明，中文维护说明，中文维修说明，外文资料附带完全准确中文翻译资料；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3、设备及备品备件含有国家强制认证或特别认证的配件或材料，同时附带合格认证结果原件；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4、设备在用期间不中断备件供应；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5、列明售后服务收费依据，价格低于于行价；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6、设备到货按买方要求及时安装；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7、保证设备到货后20日内满足启用条件；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8、设备安装后对操作员和维护员培训，能独立操作和完成日常维护为标准；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9、买方有需求时，按需提供培训服务；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10、有需求时，提供应用指导或方法开发配合；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11、指导买方准确购置备件，因供应商原因导致备件购置错误须在15日内调换并到货买方；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12、不发生恶意提高备件价格或延长供货周期现象；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13、备件有修复再利用的绝对优势，供应商必须予以修复；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14、售后服务工时不出现违约情况；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15、售后服务时，供应商造成基础设施或临近无关设备或本设备其它备件损坏，作价赔偿；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16、售后服务时，供应商未妥善保管部件而丢失或损坏，买方无赔偿义务；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17、供应商在售后服务过程中对使用方提出的问题解答清楚；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18、售后服务过程中对顺带发现的其它隐患或故障或应用问题同时予以维修或纠正；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19、售后服务工作应有条理性，不能让使用方过度投入人力、物力；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20、供应商因判断失误导致故障进一步加重或扩大，供应商承担此部分修复费用，并按工时完成；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21、售后服务收费只限于原发故障部分，排查过程用到的备件不由使用方承担费用；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22、售后服务结束，供应商和使用方共同对服务结果验收；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23、提供设备终生售后服务。</w:t>
            </w:r>
          </w:p>
        </w:tc>
      </w:tr>
      <w:tr w14:paraId="0824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0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恒温恒湿箱</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产品贮藏稳定性测试，用于菌种产业化可行性研究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0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5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*1.温度范围：-40～+100℃可调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*2.湿度范围：20～98% R•H可调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3.分布均匀度：温度 ±2.0℃；湿度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4.控制稳定度：温度 ±0.5℃；湿度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5.箱内容积：1500-1700L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6.升温时间：平均3℃~5℃/分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8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1、送货到门；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2、附带全部合格资料，包括但不限于中文操作说明，中文维护说明，中文维修说明，外文资料附带完全准确中文翻译资料；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3、设备及备品备件含有国家强制认证或特别认证的配件或材料，同时附带合格认证结果原件；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4、设备在用期间不中断备件供应；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5、列明售后服务收费依据，价格低于于行价；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6、设备到货按买方要求及时安装；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7、保证设备到货后20日内满足启用条件；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8、设备安装后对操作员和维护员培训，能独立操作和完成日常维护为标准；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9、买方有需求时，按需提供培训服务；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10、有需求时，提供应用指导或方法开发配合；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11、指导买方准确购置备件，因供应商原因导致备件购置错误须在15日内调换并到货买方；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12、不发生恶意提高备件价格或延长供货周期现象；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13、备件有修复再利用的绝对优势，供应商必须予以修复；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14、售后服务工时不出现违约情况；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15、售后服务时，供应商造成基础设施或临近无关设备或本设备其它备件损坏，作价赔偿；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16、售后服务时，供应商未妥善保管部件而丢失或损坏，买方无赔偿义务；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17、供应商在售后服务过程中对使用方提出的问题解答清楚；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18、售后服务过程中对顺带发现的其它隐患或故障或应用问题同时予以维修或纠正；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19、售后服务工作应有条理性，不能让使用方过度投入人力、物力；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20、供应商因判断失误导致故障进一步加重或扩大，供应商承担此部分修复费用，并按工时完成；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21、售后服务收费只限于原发故障部分，排查过程用到的备件不由使用方承担费用；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22、售后服务结束，供应商和使用方共同对服务结果验收；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23、提供设备终生售后服务。</w:t>
            </w:r>
          </w:p>
        </w:tc>
      </w:tr>
    </w:tbl>
    <w:p w14:paraId="64ED3D4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p>
    <w:p w14:paraId="735BCC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lang w:val="en-US" w:eastAsia="zh-CN"/>
        </w:rPr>
      </w:pPr>
    </w:p>
    <w:p w14:paraId="04CF40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资格要求：</w:t>
      </w:r>
    </w:p>
    <w:p w14:paraId="4533B0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rPr>
        <w:t>1、投标人必须是在中华人民共和国境内注册的具有独立法人资格的企业单位，成立时间须为2022年1月1日(含）前成立，公司注册资金在</w:t>
      </w:r>
      <w:r>
        <w:rPr>
          <w:rFonts w:hint="eastAsia" w:ascii="仿宋" w:hAnsi="仿宋" w:eastAsia="仿宋" w:cs="仿宋"/>
          <w:bCs/>
          <w:iCs/>
          <w:sz w:val="28"/>
          <w:szCs w:val="28"/>
          <w:highlight w:val="none"/>
          <w:lang w:val="en-US" w:eastAsia="zh-CN"/>
        </w:rPr>
        <w:t>5</w:t>
      </w:r>
      <w:r>
        <w:rPr>
          <w:rFonts w:hint="eastAsia" w:ascii="仿宋" w:hAnsi="仿宋" w:eastAsia="仿宋" w:cs="仿宋"/>
          <w:bCs/>
          <w:iCs/>
          <w:sz w:val="28"/>
          <w:szCs w:val="28"/>
          <w:highlight w:val="none"/>
        </w:rPr>
        <w:t>00万元人民币及以上（外币按注册时汇率计算），有能力履行竞谈内容要求和提供竞谈货物及服务，经营范围包含设备生产、设备销售、技术开发等任意一项内容。</w:t>
      </w:r>
    </w:p>
    <w:p w14:paraId="1EFD47D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rPr>
        <w:t>2</w:t>
      </w:r>
      <w:r>
        <w:rPr>
          <w:rFonts w:hint="eastAsia" w:ascii="仿宋" w:hAnsi="仿宋" w:eastAsia="仿宋" w:cs="仿宋"/>
          <w:bCs/>
          <w:iCs/>
          <w:sz w:val="28"/>
          <w:szCs w:val="28"/>
          <w:highlight w:val="none"/>
          <w:lang w:eastAsia="zh-CN"/>
        </w:rPr>
        <w:t>、</w:t>
      </w:r>
      <w:r>
        <w:rPr>
          <w:rFonts w:hint="eastAsia" w:ascii="仿宋" w:hAnsi="仿宋" w:eastAsia="仿宋" w:cs="仿宋"/>
          <w:bCs/>
          <w:iCs/>
          <w:sz w:val="28"/>
          <w:szCs w:val="28"/>
          <w:highlight w:val="none"/>
          <w:lang w:val="en-US" w:eastAsia="zh-CN"/>
        </w:rPr>
        <w:t>投</w:t>
      </w:r>
      <w:r>
        <w:rPr>
          <w:rFonts w:hint="eastAsia" w:ascii="仿宋" w:hAnsi="仿宋" w:eastAsia="仿宋" w:cs="仿宋"/>
          <w:bCs/>
          <w:iCs/>
          <w:sz w:val="28"/>
          <w:szCs w:val="28"/>
          <w:highlight w:val="none"/>
        </w:rPr>
        <w:t>标人须具有开户行许可证或基本存款账户信息。</w:t>
      </w:r>
    </w:p>
    <w:p w14:paraId="78A2EDA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lang w:eastAsia="zh-CN"/>
        </w:rPr>
      </w:pPr>
      <w:r>
        <w:rPr>
          <w:rFonts w:hint="eastAsia" w:ascii="仿宋" w:hAnsi="仿宋" w:eastAsia="仿宋" w:cs="仿宋"/>
          <w:bCs/>
          <w:iCs/>
          <w:sz w:val="28"/>
          <w:szCs w:val="28"/>
          <w:highlight w:val="none"/>
          <w:lang w:val="en-US" w:eastAsia="zh-CN"/>
        </w:rPr>
        <w:t>3</w:t>
      </w:r>
      <w:r>
        <w:rPr>
          <w:rFonts w:hint="eastAsia" w:ascii="仿宋" w:hAnsi="仿宋" w:eastAsia="仿宋" w:cs="仿宋"/>
          <w:bCs/>
          <w:iCs/>
          <w:sz w:val="28"/>
          <w:szCs w:val="28"/>
          <w:highlight w:val="none"/>
        </w:rPr>
        <w:t>、投标人须具有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bCs/>
          <w:iCs/>
          <w:sz w:val="28"/>
          <w:szCs w:val="28"/>
          <w:highlight w:val="none"/>
          <w:lang w:eastAsia="zh-CN"/>
        </w:rPr>
        <w:t>。</w:t>
      </w:r>
    </w:p>
    <w:p w14:paraId="1815FD3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4</w:t>
      </w:r>
      <w:r>
        <w:rPr>
          <w:rFonts w:hint="eastAsia" w:ascii="仿宋" w:hAnsi="仿宋" w:eastAsia="仿宋" w:cs="仿宋"/>
          <w:bCs/>
          <w:iCs/>
          <w:sz w:val="28"/>
          <w:szCs w:val="28"/>
          <w:highlight w:val="none"/>
        </w:rPr>
        <w:t>、投标人须具备一般纳税人资格，能开具税率13%的增值税专用发票。</w:t>
      </w:r>
    </w:p>
    <w:p w14:paraId="68FD71F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5</w:t>
      </w:r>
      <w:r>
        <w:rPr>
          <w:rFonts w:hint="eastAsia" w:ascii="仿宋" w:hAnsi="仿宋" w:eastAsia="仿宋" w:cs="仿宋"/>
          <w:bCs/>
          <w:iCs/>
          <w:sz w:val="28"/>
          <w:szCs w:val="28"/>
          <w:highlight w:val="none"/>
        </w:rPr>
        <w:t>、投标人须具有2022年、2023年、2024年的财务报表</w:t>
      </w:r>
      <w:r>
        <w:rPr>
          <w:rFonts w:hint="eastAsia" w:ascii="仿宋" w:hAnsi="仿宋" w:eastAsia="仿宋" w:cs="仿宋"/>
          <w:bCs/>
          <w:iCs/>
          <w:sz w:val="28"/>
          <w:szCs w:val="28"/>
          <w:highlight w:val="none"/>
          <w:lang w:val="en-US" w:eastAsia="zh-CN"/>
        </w:rPr>
        <w:t>或经第三方审计的财务报告</w:t>
      </w:r>
      <w:r>
        <w:rPr>
          <w:rFonts w:hint="eastAsia" w:ascii="仿宋" w:hAnsi="仿宋" w:eastAsia="仿宋" w:cs="仿宋"/>
          <w:bCs/>
          <w:iCs/>
          <w:sz w:val="28"/>
          <w:szCs w:val="28"/>
          <w:highlight w:val="none"/>
        </w:rPr>
        <w:t>。</w:t>
      </w:r>
    </w:p>
    <w:p w14:paraId="3B93821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6</w:t>
      </w:r>
      <w:r>
        <w:rPr>
          <w:rFonts w:hint="eastAsia" w:ascii="仿宋" w:hAnsi="仿宋" w:eastAsia="仿宋" w:cs="仿宋"/>
          <w:bCs/>
          <w:iCs/>
          <w:sz w:val="28"/>
          <w:szCs w:val="28"/>
          <w:highlight w:val="none"/>
        </w:rPr>
        <w:t>、投标人2022-至今须具有至少一个类似项目业绩（以合同为准）。</w:t>
      </w:r>
    </w:p>
    <w:p w14:paraId="6F9FA95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7、</w:t>
      </w:r>
      <w:r>
        <w:rPr>
          <w:rFonts w:hint="eastAsia" w:ascii="仿宋" w:hAnsi="仿宋" w:eastAsia="仿宋" w:cs="仿宋"/>
          <w:bCs/>
          <w:iCs/>
          <w:sz w:val="28"/>
          <w:szCs w:val="28"/>
          <w:highlight w:val="none"/>
        </w:rPr>
        <w:t>投标人须为所投标设备的设备厂商或授权代理商，若是授权代理商，必须取得所投货物的书面授权书和所投设备的正品的正品承诺书；</w:t>
      </w:r>
    </w:p>
    <w:p w14:paraId="2675350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8、</w:t>
      </w:r>
      <w:r>
        <w:rPr>
          <w:rFonts w:hint="eastAsia" w:ascii="仿宋" w:hAnsi="仿宋" w:eastAsia="仿宋" w:cs="仿宋"/>
          <w:bCs/>
          <w:iCs/>
          <w:sz w:val="28"/>
          <w:szCs w:val="28"/>
          <w:highlight w:val="none"/>
        </w:rPr>
        <w:t>投标人须具备</w:t>
      </w:r>
      <w:r>
        <w:rPr>
          <w:rFonts w:hint="eastAsia" w:ascii="仿宋" w:hAnsi="仿宋" w:eastAsia="仿宋" w:cs="仿宋"/>
          <w:bCs/>
          <w:iCs/>
          <w:sz w:val="28"/>
          <w:szCs w:val="28"/>
          <w:highlight w:val="none"/>
          <w:lang w:val="en-US" w:eastAsia="zh-CN"/>
        </w:rPr>
        <w:t>原厂家</w:t>
      </w:r>
      <w:r>
        <w:rPr>
          <w:rFonts w:hint="eastAsia" w:ascii="仿宋" w:hAnsi="仿宋" w:eastAsia="仿宋" w:cs="仿宋"/>
          <w:bCs/>
          <w:iCs/>
          <w:sz w:val="28"/>
          <w:szCs w:val="28"/>
          <w:highlight w:val="none"/>
        </w:rPr>
        <w:t>售后服务</w:t>
      </w:r>
      <w:r>
        <w:rPr>
          <w:rFonts w:hint="eastAsia" w:ascii="仿宋" w:hAnsi="仿宋" w:eastAsia="仿宋" w:cs="仿宋"/>
          <w:bCs/>
          <w:iCs/>
          <w:sz w:val="28"/>
          <w:szCs w:val="28"/>
          <w:highlight w:val="none"/>
          <w:lang w:val="en-US" w:eastAsia="zh-CN"/>
        </w:rPr>
        <w:t>能力，有专业人员协助解决质量问题的售后服务</w:t>
      </w:r>
      <w:r>
        <w:rPr>
          <w:rFonts w:hint="eastAsia" w:ascii="仿宋" w:hAnsi="仿宋" w:eastAsia="仿宋" w:cs="仿宋"/>
          <w:bCs/>
          <w:iCs/>
          <w:sz w:val="28"/>
          <w:szCs w:val="28"/>
          <w:highlight w:val="none"/>
        </w:rPr>
        <w:t>。</w:t>
      </w:r>
    </w:p>
    <w:p w14:paraId="58152AC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9</w:t>
      </w:r>
      <w:r>
        <w:rPr>
          <w:rFonts w:hint="eastAsia" w:ascii="仿宋" w:hAnsi="仿宋" w:eastAsia="仿宋" w:cs="仿宋"/>
          <w:bCs/>
          <w:iCs/>
          <w:sz w:val="28"/>
          <w:szCs w:val="28"/>
          <w:highlight w:val="none"/>
        </w:rPr>
        <w:t>、本次竞谈项目不接受多家单位联合报价，不允许分包或转包。</w:t>
      </w:r>
    </w:p>
    <w:p w14:paraId="5D3096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10</w:t>
      </w:r>
      <w:r>
        <w:rPr>
          <w:rFonts w:hint="eastAsia" w:ascii="仿宋" w:hAnsi="仿宋" w:eastAsia="仿宋" w:cs="仿宋"/>
          <w:bCs/>
          <w:iCs/>
          <w:sz w:val="28"/>
          <w:szCs w:val="28"/>
          <w:highlight w:val="none"/>
        </w:rPr>
        <w:t>、投标人未被列入国家企业信用信息公示系统（http://www.gsxt.gov.cn/index.html）严重违法失信企业名单。</w:t>
      </w:r>
    </w:p>
    <w:p w14:paraId="44BA232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11</w:t>
      </w:r>
      <w:r>
        <w:rPr>
          <w:rFonts w:hint="eastAsia" w:ascii="仿宋" w:hAnsi="仿宋" w:eastAsia="仿宋" w:cs="仿宋"/>
          <w:bCs/>
          <w:iCs/>
          <w:sz w:val="28"/>
          <w:szCs w:val="28"/>
          <w:highlight w:val="none"/>
        </w:rPr>
        <w:t>、不接受中粮及蒙牛供应商黑名单（以蒙牛集团采购招标管理部下发的黑名单为准）的企业参与竞争。</w:t>
      </w:r>
    </w:p>
    <w:p w14:paraId="5E896F4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rPr>
        <w:t>1</w:t>
      </w:r>
      <w:r>
        <w:rPr>
          <w:rFonts w:hint="eastAsia" w:ascii="仿宋" w:hAnsi="仿宋" w:eastAsia="仿宋" w:cs="仿宋"/>
          <w:bCs/>
          <w:iCs/>
          <w:sz w:val="28"/>
          <w:szCs w:val="28"/>
          <w:highlight w:val="none"/>
          <w:lang w:val="en-US" w:eastAsia="zh-CN"/>
        </w:rPr>
        <w:t>2</w:t>
      </w:r>
      <w:r>
        <w:rPr>
          <w:rFonts w:hint="eastAsia" w:ascii="仿宋" w:hAnsi="仿宋" w:eastAsia="仿宋" w:cs="仿宋"/>
          <w:bCs/>
          <w:iCs/>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5B2B19D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五、报名须知</w:t>
      </w:r>
    </w:p>
    <w:p w14:paraId="441BE24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color w:val="000000"/>
          <w:sz w:val="28"/>
          <w:szCs w:val="28"/>
          <w:highlight w:val="none"/>
          <w:lang w:val="en-US" w:eastAsia="zh-CN"/>
        </w:rPr>
        <w:t>（一）</w:t>
      </w:r>
      <w:r>
        <w:rPr>
          <w:rFonts w:hint="eastAsia" w:ascii="仿宋" w:hAnsi="仿宋" w:eastAsia="仿宋" w:cs="仿宋"/>
          <w:bCs/>
          <w:iCs/>
          <w:sz w:val="28"/>
          <w:szCs w:val="28"/>
          <w:highlight w:val="none"/>
        </w:rPr>
        <w:t>执行蒙牛集团电子采购招标平台线上采购招标流程</w:t>
      </w:r>
    </w:p>
    <w:p w14:paraId="4679391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rPr>
        <w:t>登录蒙牛集团电子采购招标平台报名</w:t>
      </w:r>
    </w:p>
    <w:p w14:paraId="53A7FAA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Style w:val="15"/>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https://zbcg.mengniu.cn/#/home</w:t>
      </w:r>
      <w:r>
        <w:rPr>
          <w:rStyle w:val="15"/>
          <w:rFonts w:hint="eastAsia" w:ascii="仿宋" w:hAnsi="仿宋" w:eastAsia="仿宋" w:cs="仿宋"/>
          <w:sz w:val="28"/>
          <w:szCs w:val="28"/>
          <w:highlight w:val="none"/>
        </w:rPr>
        <w:fldChar w:fldCharType="end"/>
      </w:r>
      <w:r>
        <w:rPr>
          <w:rStyle w:val="15"/>
          <w:rFonts w:hint="eastAsia" w:ascii="仿宋" w:hAnsi="仿宋" w:eastAsia="仿宋" w:cs="仿宋"/>
          <w:sz w:val="28"/>
          <w:szCs w:val="28"/>
          <w:highlight w:val="none"/>
        </w:rPr>
        <w:t xml:space="preserve"> </w:t>
      </w:r>
    </w:p>
    <w:p w14:paraId="3A7A88C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FF0000"/>
          <w:sz w:val="28"/>
          <w:szCs w:val="28"/>
          <w:highlight w:val="none"/>
        </w:rPr>
        <w:t>请先阅读服务手册，平台服务支持电话为010-21362559。</w:t>
      </w:r>
    </w:p>
    <w:p w14:paraId="7EA9B17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2、登录蒙牛供应商关系管理平台报名</w:t>
      </w:r>
    </w:p>
    <w:p w14:paraId="54640C8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潜在投标人依据资格要求自主评估，符合条件的进行网上报名及资格验证，蒙牛集团供应链关系管理平台网址：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"https://srm.mengniu.cn/sap/bc/webdynpro/sap/zregistration"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https://srm.mengniu.cn/sap/bc/webdynpro/sap/zregistration</w:t>
      </w:r>
      <w:r>
        <w:rPr>
          <w:rStyle w:val="15"/>
          <w:rFonts w:hint="eastAsia" w:ascii="仿宋" w:hAnsi="仿宋" w:eastAsia="仿宋" w:cs="仿宋"/>
          <w:sz w:val="28"/>
          <w:szCs w:val="28"/>
          <w:highlight w:val="none"/>
        </w:rPr>
        <w:fldChar w:fldCharType="end"/>
      </w:r>
    </w:p>
    <w:p w14:paraId="1501D8B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rPr>
        <w:t>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平台服务支持电话为4008108111.（投标人报名时须将报名资料盖章扫描上传到平台中）。</w:t>
      </w:r>
    </w:p>
    <w:p w14:paraId="3455FF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报名资格文件的</w:t>
      </w:r>
      <w:r>
        <w:rPr>
          <w:rFonts w:hint="eastAsia" w:ascii="仿宋" w:hAnsi="仿宋" w:eastAsia="仿宋" w:cs="仿宋"/>
          <w:color w:val="000000"/>
          <w:sz w:val="28"/>
          <w:szCs w:val="28"/>
          <w:highlight w:val="none"/>
          <w:u w:val="single"/>
        </w:rPr>
        <w:t>组成及顺序</w:t>
      </w:r>
      <w:r>
        <w:rPr>
          <w:rFonts w:hint="eastAsia" w:ascii="仿宋" w:hAnsi="仿宋" w:eastAsia="仿宋" w:cs="仿宋"/>
          <w:color w:val="000000"/>
          <w:sz w:val="28"/>
          <w:szCs w:val="28"/>
          <w:highlight w:val="none"/>
        </w:rPr>
        <w:t>按照如下要求提供：</w:t>
      </w:r>
    </w:p>
    <w:p w14:paraId="496F60A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有效的营业执照（副本）</w:t>
      </w:r>
      <w:r>
        <w:rPr>
          <w:rFonts w:hint="eastAsia" w:ascii="仿宋" w:hAnsi="仿宋" w:eastAsia="仿宋" w:cs="仿宋"/>
          <w:color w:val="000000"/>
          <w:sz w:val="28"/>
          <w:szCs w:val="28"/>
          <w:highlight w:val="none"/>
          <w:lang w:eastAsia="zh-CN"/>
        </w:rPr>
        <w:t>，</w:t>
      </w:r>
      <w:r>
        <w:rPr>
          <w:rFonts w:hint="eastAsia" w:ascii="仿宋" w:hAnsi="仿宋" w:eastAsia="仿宋" w:cs="仿宋"/>
          <w:b w:val="0"/>
          <w:bCs/>
          <w:sz w:val="28"/>
          <w:szCs w:val="28"/>
          <w:highlight w:val="none"/>
        </w:rPr>
        <w:t>成立时间须为2022年1月1日(含）前成立，公司注册资金在</w:t>
      </w: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00万元人民币及以上（外币按注册时汇率计算），有能力履行竞谈内容要求和提供竞谈货物及服务，经营范围包含设备生产、设备销售、技术开发等任意一项内容</w:t>
      </w:r>
      <w:r>
        <w:rPr>
          <w:rFonts w:hint="eastAsia" w:ascii="仿宋" w:hAnsi="仿宋" w:eastAsia="仿宋" w:cs="仿宋"/>
          <w:color w:val="000000"/>
          <w:sz w:val="28"/>
          <w:szCs w:val="28"/>
          <w:highlight w:val="none"/>
          <w:lang w:eastAsia="zh-CN"/>
        </w:rPr>
        <w:t>。</w:t>
      </w:r>
    </w:p>
    <w:p w14:paraId="011EBAE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提供法定代表人证明书或授权委托书原件</w:t>
      </w:r>
      <w:r>
        <w:rPr>
          <w:rFonts w:hint="eastAsia" w:ascii="仿宋" w:hAnsi="仿宋" w:eastAsia="仿宋" w:cs="仿宋"/>
          <w:color w:val="000000"/>
          <w:sz w:val="28"/>
          <w:szCs w:val="28"/>
          <w:highlight w:val="none"/>
          <w:lang w:eastAsia="zh-CN"/>
        </w:rPr>
        <w:t>。</w:t>
      </w:r>
    </w:p>
    <w:p w14:paraId="6B1799F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rPr>
        <w:t>备注：法定代表人须上传法定代表人证明材料及身份证扫描件，若为法定代表人的授权委托人须上传一份法人授权委托书和身份证原件及授权委托人近一年内</w:t>
      </w:r>
      <w:r>
        <w:rPr>
          <w:rFonts w:hint="eastAsia" w:ascii="仿宋" w:hAnsi="仿宋" w:eastAsia="仿宋" w:cs="仿宋"/>
          <w:color w:val="000000"/>
          <w:sz w:val="28"/>
          <w:szCs w:val="28"/>
          <w:highlight w:val="none"/>
          <w:lang w:val="en-US" w:eastAsia="zh-CN"/>
        </w:rPr>
        <w:t>任意三个月</w:t>
      </w:r>
      <w:r>
        <w:rPr>
          <w:rFonts w:hint="eastAsia" w:ascii="仿宋" w:hAnsi="仿宋" w:eastAsia="仿宋" w:cs="仿宋"/>
          <w:color w:val="000000"/>
          <w:sz w:val="28"/>
          <w:szCs w:val="28"/>
          <w:highlight w:val="none"/>
        </w:rPr>
        <w:t>在本单位的社保证明材料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附件1</w:t>
      </w:r>
      <w:r>
        <w:rPr>
          <w:rFonts w:hint="eastAsia" w:ascii="仿宋" w:hAnsi="仿宋" w:eastAsia="仿宋" w:cs="仿宋"/>
          <w:color w:val="000000"/>
          <w:sz w:val="28"/>
          <w:szCs w:val="28"/>
          <w:highlight w:val="none"/>
          <w:lang w:eastAsia="zh-CN"/>
        </w:rPr>
        <w:t>）</w:t>
      </w:r>
    </w:p>
    <w:p w14:paraId="7271F72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有效的开户行许可证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rPr>
        <w:t>基本存款账户信息</w:t>
      </w:r>
      <w:r>
        <w:rPr>
          <w:rFonts w:hint="eastAsia" w:ascii="仿宋" w:hAnsi="仿宋" w:eastAsia="仿宋" w:cs="仿宋"/>
          <w:color w:val="000000"/>
          <w:sz w:val="28"/>
          <w:szCs w:val="28"/>
          <w:highlight w:val="none"/>
          <w:lang w:eastAsia="zh-CN"/>
        </w:rPr>
        <w:t>。</w:t>
      </w:r>
    </w:p>
    <w:p w14:paraId="4EE233E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lang w:val="en-US" w:eastAsia="zh-CN"/>
        </w:rPr>
        <w:t>4、提供本企业2024年1月1日至今任意3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color w:val="000000"/>
          <w:sz w:val="28"/>
          <w:szCs w:val="28"/>
          <w:highlight w:val="none"/>
        </w:rPr>
        <w:t>。</w:t>
      </w:r>
    </w:p>
    <w:p w14:paraId="437F2CA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提供一般纳税人认定资格证明材料及提供已开出税率13%的增值税专用发票复印件。</w:t>
      </w:r>
    </w:p>
    <w:p w14:paraId="44F3E4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提供本企业2022年、2023年、2024年的财务报表</w:t>
      </w:r>
      <w:r>
        <w:rPr>
          <w:rFonts w:hint="eastAsia" w:ascii="仿宋" w:hAnsi="仿宋" w:eastAsia="仿宋" w:cs="仿宋"/>
          <w:b w:val="0"/>
          <w:bCs/>
          <w:sz w:val="28"/>
          <w:szCs w:val="28"/>
          <w:highlight w:val="none"/>
          <w:lang w:val="en-US" w:eastAsia="zh-CN"/>
        </w:rPr>
        <w:t>或经第三方审计的财务报告</w:t>
      </w:r>
      <w:r>
        <w:rPr>
          <w:rFonts w:hint="eastAsia" w:ascii="仿宋" w:hAnsi="仿宋" w:eastAsia="仿宋" w:cs="仿宋"/>
          <w:color w:val="000000"/>
          <w:sz w:val="28"/>
          <w:szCs w:val="28"/>
          <w:highlight w:val="none"/>
        </w:rPr>
        <w:t>。</w:t>
      </w:r>
    </w:p>
    <w:p w14:paraId="252DCC6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提供本企业2022年至今至少1个类似项目的业绩</w:t>
      </w:r>
      <w:r>
        <w:rPr>
          <w:rFonts w:hint="eastAsia" w:ascii="仿宋" w:hAnsi="仿宋" w:eastAsia="仿宋" w:cs="仿宋"/>
          <w:color w:val="000000"/>
          <w:sz w:val="28"/>
          <w:szCs w:val="28"/>
          <w:highlight w:val="none"/>
          <w:lang w:val="en-US" w:eastAsia="zh-CN"/>
        </w:rPr>
        <w:t>的</w:t>
      </w:r>
      <w:r>
        <w:rPr>
          <w:rFonts w:hint="eastAsia" w:ascii="仿宋" w:hAnsi="仿宋" w:eastAsia="仿宋" w:cs="仿宋"/>
          <w:color w:val="000000"/>
          <w:sz w:val="28"/>
          <w:szCs w:val="28"/>
          <w:highlight w:val="none"/>
        </w:rPr>
        <w:t>证明材料（以合同为准）。</w:t>
      </w:r>
    </w:p>
    <w:p w14:paraId="1ADC025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提供所投标设备的设备厂商的承诺书和所投设备的正品承诺书，若是授权代理商需提供所投货物的书面授权书（明确对应设备）和所投设备的正品承诺书。</w:t>
      </w:r>
    </w:p>
    <w:p w14:paraId="2A88084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原厂家</w:t>
      </w:r>
      <w:r>
        <w:rPr>
          <w:rFonts w:hint="eastAsia" w:ascii="仿宋" w:hAnsi="仿宋" w:eastAsia="仿宋" w:cs="仿宋"/>
          <w:color w:val="000000"/>
          <w:sz w:val="28"/>
          <w:szCs w:val="28"/>
          <w:highlight w:val="none"/>
        </w:rPr>
        <w:t>售后服务</w:t>
      </w:r>
      <w:r>
        <w:rPr>
          <w:rFonts w:hint="eastAsia" w:ascii="仿宋" w:hAnsi="仿宋" w:eastAsia="仿宋" w:cs="仿宋"/>
          <w:color w:val="000000"/>
          <w:sz w:val="28"/>
          <w:szCs w:val="28"/>
          <w:highlight w:val="none"/>
          <w:lang w:val="en-US" w:eastAsia="zh-CN"/>
        </w:rPr>
        <w:t>的</w:t>
      </w:r>
      <w:r>
        <w:rPr>
          <w:rFonts w:hint="eastAsia" w:ascii="仿宋" w:hAnsi="仿宋" w:eastAsia="仿宋" w:cs="仿宋"/>
          <w:color w:val="000000"/>
          <w:sz w:val="28"/>
          <w:szCs w:val="28"/>
          <w:highlight w:val="none"/>
        </w:rPr>
        <w:t>承诺书，有专业人员协助解决质量问题的售后服务。</w:t>
      </w:r>
    </w:p>
    <w:p w14:paraId="34909B6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提供非联合体形式参与，及如中标本项目不进行分包或转包承诺书。（附件</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w:t>
      </w:r>
    </w:p>
    <w:p w14:paraId="161B8FE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提供本企业未被列入国家企业信用信息公示系统（http://www.gsxt.gov.cn/index.html）严重违法失信企业名单的证明材料。</w:t>
      </w:r>
    </w:p>
    <w:p w14:paraId="090D29B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提供关于聘用蒙牛在职人员亲属（含特定关系人）及离职人员的告知函。（附件</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，请详细阅读告知函，如为告知函中情况二须同时提供《阳光协议》）</w:t>
      </w:r>
    </w:p>
    <w:p w14:paraId="2441ED3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13、提</w:t>
      </w:r>
      <w:r>
        <w:rPr>
          <w:rFonts w:hint="eastAsia" w:ascii="仿宋" w:hAnsi="仿宋" w:eastAsia="仿宋" w:cs="仿宋"/>
          <w:color w:val="000000"/>
          <w:sz w:val="28"/>
          <w:szCs w:val="28"/>
          <w:highlight w:val="none"/>
        </w:rPr>
        <w:t>供保密承诺书。（附件</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p>
    <w:p w14:paraId="4C4EE5CE">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说明：</w:t>
      </w:r>
    </w:p>
    <w:p w14:paraId="38816A96">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本项目采用全流程电子化招标采购方式，以上各类证书、证明材料应为原件的复印件，</w:t>
      </w:r>
      <w:r>
        <w:rPr>
          <w:rFonts w:hint="eastAsia" w:ascii="仿宋" w:hAnsi="仿宋" w:eastAsia="仿宋" w:cs="仿宋"/>
          <w:b/>
          <w:bCs/>
          <w:color w:val="00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）”进行线上提交，进行资格审查（过期提交不予受理），审查合格后方可购买谈判文件（仅作为发放谈判文件的依据）。</w:t>
      </w:r>
    </w:p>
    <w:p w14:paraId="329E098D">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rPr>
        <w:t>资格。</w:t>
      </w:r>
    </w:p>
    <w:p w14:paraId="1FAC953E">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34E6287E">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以上报名资料内容必须清晰、易辨认，否则将被视为没有提供有效证件</w:t>
      </w:r>
      <w:r>
        <w:rPr>
          <w:rFonts w:hint="eastAsia" w:ascii="仿宋" w:hAnsi="仿宋" w:eastAsia="仿宋" w:cs="仿宋"/>
          <w:sz w:val="28"/>
          <w:szCs w:val="28"/>
          <w:highlight w:val="none"/>
          <w:lang w:eastAsia="zh-CN"/>
        </w:rPr>
        <w:t>。</w:t>
      </w:r>
    </w:p>
    <w:p w14:paraId="7DEA6B3C">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资料提供不全或者未按时间要求提报的将被拒绝接收，所提供的资质业绩文件中如有虚假情况，一经发现将被取消竞争资格。</w:t>
      </w:r>
    </w:p>
    <w:p w14:paraId="3086143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122F12D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w:t>
      </w:r>
    </w:p>
    <w:p w14:paraId="47B83D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p>
    <w:p w14:paraId="0E0CCCED">
      <w:pPr>
        <w:keepNext w:val="0"/>
        <w:keepLines w:val="0"/>
        <w:pageBreakBefore w:val="0"/>
        <w:kinsoku/>
        <w:overflowPunct/>
        <w:topLinePunct w:val="0"/>
        <w:autoSpaceDE/>
        <w:autoSpaceDN/>
        <w:bidi w:val="0"/>
        <w:adjustRightInd/>
        <w:ind w:firstLine="560" w:firstLineChars="200"/>
        <w:jc w:val="both"/>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14</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18</w:t>
      </w:r>
      <w:bookmarkStart w:id="0" w:name="_GoBack"/>
      <w:bookmarkEnd w:id="0"/>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日发放询价单。</w:t>
      </w:r>
    </w:p>
    <w:p w14:paraId="01E49296">
      <w:pPr>
        <w:keepNext w:val="0"/>
        <w:keepLines w:val="0"/>
        <w:pageBreakBefore w:val="0"/>
        <w:kinsoku/>
        <w:overflowPunct/>
        <w:topLinePunct w:val="0"/>
        <w:autoSpaceDE/>
        <w:autoSpaceDN/>
        <w:bidi w:val="0"/>
        <w:adjustRightInd/>
        <w:ind w:firstLine="560" w:firstLineChars="200"/>
        <w:jc w:val="both"/>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4、比价时间：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18</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时；（以发出的询价单为准）</w:t>
      </w:r>
    </w:p>
    <w:p w14:paraId="45A68CF6">
      <w:pPr>
        <w:keepNext w:val="0"/>
        <w:keepLines w:val="0"/>
        <w:pageBreakBefore w:val="0"/>
        <w:kinsoku/>
        <w:overflowPunct/>
        <w:topLinePunct w:val="0"/>
        <w:autoSpaceDE/>
        <w:autoSpaceDN/>
        <w:bidi w:val="0"/>
        <w:adjustRightInd/>
        <w:ind w:firstLine="562" w:firstLineChars="200"/>
        <w:jc w:val="both"/>
        <w:textAlignment w:val="auto"/>
        <w:rPr>
          <w:rFonts w:ascii="仿宋_GB2312" w:hAnsi="宋体" w:eastAsia="仿宋_GB2312"/>
          <w:b/>
          <w:color w:val="000000" w:themeColor="text1"/>
          <w:sz w:val="28"/>
          <w:szCs w:val="28"/>
          <w:highlight w:val="none"/>
          <w:u w:val="singl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七、询比价地点</w:t>
      </w:r>
      <w:r>
        <w:rPr>
          <w:rFonts w:hint="eastAsia" w:ascii="仿宋_GB2312" w:hAnsi="宋体" w:eastAsia="仿宋_GB2312"/>
          <w:b/>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u w:val="single"/>
          <w14:textFill>
            <w14:solidFill>
              <w14:schemeClr w14:val="tx1"/>
            </w14:solidFill>
          </w14:textFill>
        </w:rPr>
        <w:t>蒙牛集团电子采购招标平台</w:t>
      </w:r>
      <w:r>
        <w:rPr>
          <w:rFonts w:ascii="仿宋_GB2312" w:hAnsi="宋体" w:eastAsia="仿宋_GB2312"/>
          <w:color w:val="000000" w:themeColor="text1"/>
          <w:sz w:val="28"/>
          <w:szCs w:val="28"/>
          <w:highlight w:val="none"/>
          <w:u w:val="single"/>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以发出的询价单为准）</w:t>
      </w:r>
    </w:p>
    <w:p w14:paraId="7368F3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八、发布媒体：</w:t>
      </w:r>
    </w:p>
    <w:p w14:paraId="32D3DF9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中国采购与招标网大数据平台</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"https://www.chinabidding.cn/"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https://www.chinabidding.cn/</w:t>
      </w:r>
      <w:r>
        <w:rPr>
          <w:rFonts w:hint="eastAsia" w:ascii="仿宋" w:hAnsi="仿宋" w:eastAsia="仿宋" w:cs="仿宋"/>
          <w:sz w:val="28"/>
          <w:szCs w:val="28"/>
          <w:highlight w:val="none"/>
          <w:lang w:val="en-US" w:eastAsia="zh-CN"/>
        </w:rPr>
        <w:fldChar w:fldCharType="end"/>
      </w:r>
    </w:p>
    <w:p w14:paraId="2B85995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蒙牛集团电子采购招标平台</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"https://zbcg.mengniu.cn/" \l "/home" \t "_blank"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https://zbcg.mengniu.cn/#/home</w:t>
      </w:r>
      <w:r>
        <w:rPr>
          <w:rFonts w:hint="eastAsia" w:ascii="仿宋" w:hAnsi="仿宋" w:eastAsia="仿宋" w:cs="仿宋"/>
          <w:sz w:val="28"/>
          <w:szCs w:val="28"/>
          <w:highlight w:val="none"/>
          <w:lang w:val="en-US" w:eastAsia="zh-CN"/>
        </w:rPr>
        <w:fldChar w:fldCharType="end"/>
      </w:r>
    </w:p>
    <w:p w14:paraId="60AC62A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蒙牛官网http://www.mengniu.com.cn</w:t>
      </w:r>
    </w:p>
    <w:p w14:paraId="755EEC1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蒙牛内部OA平台</w:t>
      </w:r>
    </w:p>
    <w:p w14:paraId="132C89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此公告只在以上平台发布，其他任何媒体转载无效。</w:t>
      </w:r>
    </w:p>
    <w:p w14:paraId="2369ABCC">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九、采购招标实施方及联系方式：</w:t>
      </w:r>
    </w:p>
    <w:p w14:paraId="200B733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i w:val="0"/>
          <w:iCs w:val="0"/>
          <w:caps w:val="0"/>
          <w:color w:val="000000"/>
          <w:spacing w:val="0"/>
          <w:sz w:val="28"/>
          <w:szCs w:val="28"/>
          <w:highlight w:val="none"/>
        </w:rPr>
        <w:t>内蒙古蒙牛乳业(集团)股份有限公司</w:t>
      </w:r>
    </w:p>
    <w:p w14:paraId="03865AE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贺俊英</w:t>
      </w:r>
      <w:r>
        <w:rPr>
          <w:rFonts w:hint="eastAsia" w:ascii="仿宋" w:hAnsi="仿宋" w:eastAsia="仿宋" w:cs="仿宋"/>
          <w:sz w:val="28"/>
          <w:szCs w:val="28"/>
          <w:highlight w:val="none"/>
        </w:rPr>
        <w:t xml:space="preserve">                  </w:t>
      </w:r>
    </w:p>
    <w:p w14:paraId="635FD32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17704802965</w:t>
      </w:r>
    </w:p>
    <w:p w14:paraId="6F6C1684">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sz w:val="28"/>
          <w:szCs w:val="28"/>
          <w:highlight w:val="none"/>
        </w:rPr>
        <w:t>监督单位及联系方式：</w:t>
      </w:r>
    </w:p>
    <w:p w14:paraId="4813B0A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监督单位：内蒙古蒙牛乳业（集团）股份有限公司采购招标管理部</w:t>
      </w:r>
    </w:p>
    <w:p w14:paraId="1A0D1E4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异议/投诉服务网址：</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Style w:val="15"/>
          <w:rFonts w:hint="eastAsia" w:ascii="仿宋" w:hAnsi="仿宋" w:eastAsia="仿宋" w:cs="仿宋"/>
          <w:color w:val="auto"/>
          <w:sz w:val="28"/>
          <w:szCs w:val="28"/>
          <w:highlight w:val="none"/>
          <w:shd w:val="clear" w:color="auto" w:fill="FFFFFF"/>
        </w:rPr>
        <w:t>https://zbcg.mengniu.cn/#/home</w:t>
      </w:r>
      <w:r>
        <w:rPr>
          <w:rStyle w:val="15"/>
          <w:rFonts w:hint="eastAsia" w:ascii="仿宋" w:hAnsi="仿宋" w:eastAsia="仿宋" w:cs="仿宋"/>
          <w:color w:val="auto"/>
          <w:sz w:val="28"/>
          <w:szCs w:val="28"/>
          <w:highlight w:val="none"/>
          <w:shd w:val="clear" w:color="auto" w:fill="FFFFFF"/>
        </w:rPr>
        <w:fldChar w:fldCharType="end"/>
      </w:r>
    </w:p>
    <w:p w14:paraId="6004DC6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监 督 人: </w:t>
      </w:r>
      <w:r>
        <w:rPr>
          <w:rFonts w:hint="eastAsia" w:ascii="仿宋" w:hAnsi="仿宋" w:eastAsia="仿宋" w:cs="仿宋"/>
          <w:color w:val="auto"/>
          <w:sz w:val="28"/>
          <w:szCs w:val="28"/>
          <w:highlight w:val="none"/>
          <w:lang w:val="en-US" w:eastAsia="zh-CN"/>
        </w:rPr>
        <w:t>潘宏</w:t>
      </w:r>
      <w:r>
        <w:rPr>
          <w:rFonts w:hint="eastAsia" w:ascii="仿宋" w:hAnsi="仿宋" w:eastAsia="仿宋" w:cs="仿宋"/>
          <w:color w:val="auto"/>
          <w:sz w:val="28"/>
          <w:szCs w:val="28"/>
          <w:highlight w:val="none"/>
        </w:rPr>
        <w:t xml:space="preserve">                      </w:t>
      </w:r>
    </w:p>
    <w:p w14:paraId="6514AA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联系电话：0471-7393642/监督人电话18686095595</w:t>
      </w:r>
    </w:p>
    <w:p w14:paraId="1CC5ED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电子邮件：panhong@mengniu.cn</w:t>
      </w:r>
    </w:p>
    <w:p w14:paraId="4040E11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异议/投诉服务网址：https://zbcg.mengniu.cn/#/home</w:t>
      </w:r>
    </w:p>
    <w:p w14:paraId="65E4E9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7677BC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72C3057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F7E290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受理范围：采购招标执行过程中涉嫌贪污贿赂、滥用职权、玩忽职守、权力寻租、利益输送、徇私舞弊以及浪费公司资财等违纪问题的各类举报。</w:t>
      </w:r>
    </w:p>
    <w:p w14:paraId="759EFA9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3EBF241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.非联合体竞谈，不分包或转包声明</w:t>
      </w:r>
    </w:p>
    <w:p w14:paraId="6B0EC06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.告知函</w:t>
      </w:r>
    </w:p>
    <w:p w14:paraId="3633DA7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.保密承诺书</w:t>
      </w:r>
    </w:p>
    <w:p w14:paraId="64B553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p>
    <w:p w14:paraId="39E8D77A">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采购人：内蒙古蒙牛乳业(集团)股份有限公司</w:t>
      </w:r>
    </w:p>
    <w:p w14:paraId="7697CD2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2025年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w:t>
      </w:r>
    </w:p>
    <w:p w14:paraId="5F4610C5">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C0A0F55">
      <w:pPr>
        <w:keepNext w:val="0"/>
        <w:keepLines w:val="0"/>
        <w:pageBreakBefore w:val="0"/>
        <w:kinsoku/>
        <w:wordWrap/>
        <w:topLinePunct w:val="0"/>
        <w:bidi w:val="0"/>
        <w:adjustRightInd w:val="0"/>
        <w:snapToGrid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5B40BAD4">
      <w:pPr>
        <w:keepNext w:val="0"/>
        <w:keepLines w:val="0"/>
        <w:pageBreakBefore w:val="0"/>
        <w:kinsoku/>
        <w:wordWrap/>
        <w:topLinePunct w:val="0"/>
        <w:bidi w:val="0"/>
        <w:spacing w:line="240" w:lineRule="auto"/>
        <w:ind w:firstLine="3373" w:firstLineChars="12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747CDAC7">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p>
    <w:p w14:paraId="74BD9A47">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62EDBC63">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0F6B40DB">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7E88A0AB">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3FEBCE0">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2E23AB83">
      <w:pPr>
        <w:keepNext w:val="0"/>
        <w:keepLines w:val="0"/>
        <w:pageBreakBefore w:val="0"/>
        <w:kinsoku/>
        <w:wordWrap/>
        <w:topLinePunct w:val="0"/>
        <w:bidi w:val="0"/>
        <w:spacing w:line="240" w:lineRule="auto"/>
        <w:ind w:left="708" w:leftChars="337" w:firstLine="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73902DA2">
      <w:pPr>
        <w:keepNext w:val="0"/>
        <w:keepLines w:val="0"/>
        <w:pageBreakBefore w:val="0"/>
        <w:kinsoku/>
        <w:wordWrap/>
        <w:topLinePunct w:val="0"/>
        <w:bidi w:val="0"/>
        <w:spacing w:line="240" w:lineRule="auto"/>
        <w:ind w:left="708" w:leftChars="337" w:firstLine="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50C31596">
      <w:pPr>
        <w:keepNext w:val="0"/>
        <w:keepLines w:val="0"/>
        <w:pageBreakBefore w:val="0"/>
        <w:kinsoku/>
        <w:wordWrap/>
        <w:topLinePunct w:val="0"/>
        <w:bidi w:val="0"/>
        <w:spacing w:line="240" w:lineRule="auto"/>
        <w:ind w:right="1556" w:rightChars="741" w:firstLine="840" w:firstLineChars="3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D620D38">
      <w:pPr>
        <w:keepNext w:val="0"/>
        <w:keepLines w:val="0"/>
        <w:pageBreakBefore w:val="0"/>
        <w:kinsoku/>
        <w:wordWrap/>
        <w:topLinePunct w:val="0"/>
        <w:bidi w:val="0"/>
        <w:spacing w:line="240" w:lineRule="auto"/>
        <w:ind w:right="1556" w:rightChars="741"/>
        <w:jc w:val="left"/>
        <w:rPr>
          <w:rFonts w:hint="eastAsia" w:ascii="仿宋" w:hAnsi="仿宋" w:eastAsia="仿宋" w:cs="仿宋"/>
          <w:sz w:val="28"/>
          <w:szCs w:val="28"/>
          <w:highlight w:val="none"/>
        </w:rPr>
      </w:pPr>
    </w:p>
    <w:p w14:paraId="1A359427">
      <w:pPr>
        <w:keepNext w:val="0"/>
        <w:keepLines w:val="0"/>
        <w:pageBreakBefore w:val="0"/>
        <w:kinsoku/>
        <w:wordWrap/>
        <w:topLinePunct w:val="0"/>
        <w:bidi w:val="0"/>
        <w:spacing w:line="240" w:lineRule="auto"/>
        <w:ind w:right="1556" w:rightChars="741" w:firstLine="2800" w:firstLineChars="10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29A4649">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0"/>
        <w:gridCol w:w="4230"/>
      </w:tblGrid>
      <w:tr w14:paraId="0E55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517" w:type="pct"/>
            <w:shd w:val="clear" w:color="auto" w:fill="auto"/>
          </w:tcPr>
          <w:p w14:paraId="32F2649C">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2482" w:type="pct"/>
            <w:shd w:val="clear" w:color="auto" w:fill="auto"/>
          </w:tcPr>
          <w:p w14:paraId="1988DF56">
            <w:pPr>
              <w:keepNext w:val="0"/>
              <w:keepLines w:val="0"/>
              <w:pageBreakBefore w:val="0"/>
              <w:kinsoku/>
              <w:wordWrap/>
              <w:topLinePunct w:val="0"/>
              <w:bidi w:val="0"/>
              <w:spacing w:line="24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7105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2517" w:type="pct"/>
            <w:shd w:val="clear" w:color="auto" w:fill="auto"/>
          </w:tcPr>
          <w:p w14:paraId="54823E53">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tc>
        <w:tc>
          <w:tcPr>
            <w:tcW w:w="2482" w:type="pct"/>
            <w:shd w:val="clear" w:color="auto" w:fill="auto"/>
          </w:tcPr>
          <w:p w14:paraId="34301BFB">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tc>
      </w:tr>
    </w:tbl>
    <w:p w14:paraId="2A15E111">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p>
    <w:p w14:paraId="756A56B3">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p w14:paraId="75D8B680">
      <w:pPr>
        <w:keepNext w:val="0"/>
        <w:keepLines w:val="0"/>
        <w:pageBreakBefore w:val="0"/>
        <w:kinsoku/>
        <w:wordWrap/>
        <w:topLinePunct w:val="0"/>
        <w:bidi w:val="0"/>
        <w:spacing w:line="240" w:lineRule="auto"/>
        <w:ind w:firstLine="2811" w:firstLineChars="1000"/>
        <w:jc w:val="left"/>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546BF094">
      <w:pPr>
        <w:keepNext w:val="0"/>
        <w:keepLines w:val="0"/>
        <w:pageBreakBefore w:val="0"/>
        <w:kinsoku/>
        <w:wordWrap/>
        <w:topLinePunct w:val="0"/>
        <w:bidi w:val="0"/>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（采购人名称）</w:t>
      </w:r>
      <w:r>
        <w:rPr>
          <w:rFonts w:hint="eastAsia" w:ascii="仿宋" w:hAnsi="仿宋" w:eastAsia="仿宋" w:cs="仿宋"/>
          <w:sz w:val="28"/>
          <w:szCs w:val="28"/>
          <w:highlight w:val="none"/>
        </w:rPr>
        <w:t>：</w:t>
      </w:r>
    </w:p>
    <w:p w14:paraId="6ED54557">
      <w:pPr>
        <w:keepNext w:val="0"/>
        <w:keepLines w:val="0"/>
        <w:pageBreakBefore w:val="0"/>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rPr>
        <w:t xml:space="preserve">                  标段（如有）   </w:t>
      </w:r>
      <w:r>
        <w:rPr>
          <w:rFonts w:hint="eastAsia" w:ascii="仿宋" w:hAnsi="仿宋" w:eastAsia="仿宋" w:cs="仿宋"/>
          <w:sz w:val="28"/>
          <w:szCs w:val="28"/>
          <w:highlight w:val="none"/>
        </w:rPr>
        <w:t>竞谈项目活动中的一切事宜。</w:t>
      </w:r>
    </w:p>
    <w:p w14:paraId="14959B7A">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5844CF3">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A4BD55D">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14132EBF">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DF51E77">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39D9E8DE">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792F2EF0">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2A693001">
      <w:pPr>
        <w:keepNext w:val="0"/>
        <w:keepLines w:val="0"/>
        <w:pageBreakBefore w:val="0"/>
        <w:kinsoku/>
        <w:wordWrap/>
        <w:topLinePunct w:val="0"/>
        <w:bidi w:val="0"/>
        <w:spacing w:line="240" w:lineRule="auto"/>
        <w:ind w:left="850" w:leftChars="405" w:firstLine="56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1F141F7D">
      <w:pPr>
        <w:keepNext w:val="0"/>
        <w:keepLines w:val="0"/>
        <w:pageBreakBefore w:val="0"/>
        <w:kinsoku/>
        <w:wordWrap/>
        <w:topLinePunct w:val="0"/>
        <w:bidi w:val="0"/>
        <w:spacing w:line="240" w:lineRule="auto"/>
        <w:ind w:left="850" w:leftChars="405" w:firstLine="569"/>
        <w:jc w:val="left"/>
        <w:rPr>
          <w:rFonts w:hint="eastAsia" w:ascii="仿宋" w:hAnsi="仿宋" w:eastAsia="仿宋" w:cs="仿宋"/>
          <w:sz w:val="28"/>
          <w:szCs w:val="28"/>
          <w:highlight w:val="none"/>
          <w:lang w:val="en-US" w:eastAsia="zh-CN"/>
        </w:rPr>
      </w:pPr>
    </w:p>
    <w:p w14:paraId="50CD733A">
      <w:pPr>
        <w:keepNext w:val="0"/>
        <w:keepLines w:val="0"/>
        <w:pageBreakBefore w:val="0"/>
        <w:kinsoku/>
        <w:wordWrap/>
        <w:topLinePunct w:val="0"/>
        <w:bidi w:val="0"/>
        <w:spacing w:line="240" w:lineRule="auto"/>
        <w:ind w:left="850" w:leftChars="405" w:firstLine="4670" w:firstLineChars="1668"/>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年  月  日    </w:t>
      </w:r>
    </w:p>
    <w:p w14:paraId="5C72F070">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24F47081">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462B42C1">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53E67755">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331C7E49">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4CD2C3DC">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14CB8234">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80"/>
        <w:gridCol w:w="4140"/>
      </w:tblGrid>
      <w:tr w14:paraId="1179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2570" w:type="pct"/>
          </w:tcPr>
          <w:p w14:paraId="34F455FA">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14:paraId="6D1210A5">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c>
          <w:tcPr>
            <w:tcW w:w="2429" w:type="pct"/>
          </w:tcPr>
          <w:p w14:paraId="3C41CC61">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w:t>
            </w:r>
          </w:p>
          <w:p w14:paraId="65FF6C0E">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r>
      <w:tr w14:paraId="4F19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2570" w:type="pct"/>
          </w:tcPr>
          <w:p w14:paraId="41FC1147">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p>
        </w:tc>
        <w:tc>
          <w:tcPr>
            <w:tcW w:w="2429" w:type="pct"/>
          </w:tcPr>
          <w:p w14:paraId="6691DC53">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p>
        </w:tc>
      </w:tr>
    </w:tbl>
    <w:p w14:paraId="35AA98F9">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03B2CF0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（要求：1、具备社保局出具的材料；2、具备本单位名称及授权委托人姓名，近一年）</w:t>
      </w:r>
    </w:p>
    <w:p w14:paraId="039050B3">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D5E447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CFE143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2A07E5BD">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35D8809F">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52D5A5E5">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1B997B0E">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7052FE9">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52EF7AB2">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DC2FAA0">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5D74C1AC">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2720D3C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13628607">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附件2</w:t>
      </w:r>
    </w:p>
    <w:p w14:paraId="13AC4CC3">
      <w:pPr>
        <w:keepNext w:val="0"/>
        <w:keepLines w:val="0"/>
        <w:pageBreakBefore w:val="0"/>
        <w:kinsoku/>
        <w:wordWrap/>
        <w:topLinePunct w:val="0"/>
        <w:bidi w:val="0"/>
        <w:spacing w:line="240" w:lineRule="auto"/>
        <w:ind w:firstLine="2249" w:firstLineChars="800"/>
        <w:jc w:val="left"/>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53F6162D">
      <w:pPr>
        <w:pStyle w:val="3"/>
        <w:keepNext w:val="0"/>
        <w:keepLines w:val="0"/>
        <w:pageBreakBefore w:val="0"/>
        <w:kinsoku/>
        <w:wordWrap/>
        <w:overflowPunct w:val="0"/>
        <w:topLinePunct w:val="0"/>
        <w:bidi w:val="0"/>
        <w:spacing w:line="240" w:lineRule="auto"/>
        <w:ind w:left="5250"/>
        <w:jc w:val="left"/>
        <w:rPr>
          <w:rFonts w:hint="eastAsia" w:ascii="仿宋" w:hAnsi="仿宋" w:eastAsia="仿宋" w:cs="仿宋"/>
          <w:sz w:val="28"/>
          <w:szCs w:val="28"/>
          <w:highlight w:val="none"/>
        </w:rPr>
      </w:pPr>
    </w:p>
    <w:p w14:paraId="4B5988CC">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p>
    <w:p w14:paraId="3F1E0DE5">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关于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项目(项目编号:            )项目，我公司未采取联合体形式参与本项目竞谈</w:t>
      </w:r>
      <w:r>
        <w:rPr>
          <w:rFonts w:hint="eastAsia" w:ascii="仿宋" w:hAnsi="仿宋" w:eastAsia="仿宋" w:cs="仿宋"/>
          <w:sz w:val="28"/>
          <w:szCs w:val="28"/>
          <w:highlight w:val="none"/>
        </w:rPr>
        <w:t>项目</w:t>
      </w:r>
      <w:r>
        <w:rPr>
          <w:rFonts w:hint="eastAsia" w:ascii="仿宋" w:hAnsi="仿宋" w:eastAsia="仿宋" w:cs="仿宋"/>
          <w:kern w:val="0"/>
          <w:sz w:val="28"/>
          <w:szCs w:val="28"/>
          <w:highlight w:val="none"/>
        </w:rPr>
        <w:t>，承诺中标后不分包或转包。</w:t>
      </w:r>
    </w:p>
    <w:p w14:paraId="28118FD2">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p>
    <w:p w14:paraId="5EE45315">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p>
    <w:p w14:paraId="00B62436">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5BA6D91E">
      <w:pPr>
        <w:pStyle w:val="3"/>
        <w:keepNext w:val="0"/>
        <w:keepLines w:val="0"/>
        <w:pageBreakBefore w:val="0"/>
        <w:kinsoku/>
        <w:wordWrap/>
        <w:overflowPunct w:val="0"/>
        <w:topLinePunct w:val="0"/>
        <w:bidi w:val="0"/>
        <w:spacing w:line="240" w:lineRule="auto"/>
        <w:jc w:val="left"/>
        <w:rPr>
          <w:rFonts w:hint="eastAsia" w:ascii="仿宋" w:hAnsi="仿宋" w:eastAsia="仿宋" w:cs="仿宋"/>
          <w:kern w:val="0"/>
          <w:sz w:val="28"/>
          <w:szCs w:val="28"/>
          <w:highlight w:val="none"/>
        </w:rPr>
      </w:pPr>
    </w:p>
    <w:p w14:paraId="1D19ED95">
      <w:pPr>
        <w:pStyle w:val="3"/>
        <w:keepNext w:val="0"/>
        <w:keepLines w:val="0"/>
        <w:pageBreakBefore w:val="0"/>
        <w:kinsoku/>
        <w:wordWrap/>
        <w:overflowPunct w:val="0"/>
        <w:topLinePunct w:val="0"/>
        <w:bidi w:val="0"/>
        <w:spacing w:line="24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xx公司</w:t>
      </w:r>
    </w:p>
    <w:p w14:paraId="5A00F68D">
      <w:pPr>
        <w:pStyle w:val="3"/>
        <w:keepNext w:val="0"/>
        <w:keepLines w:val="0"/>
        <w:pageBreakBefore w:val="0"/>
        <w:kinsoku/>
        <w:wordWrap/>
        <w:overflowPunct w:val="0"/>
        <w:topLinePunct w:val="0"/>
        <w:bidi w:val="0"/>
        <w:spacing w:line="24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xx日期</w:t>
      </w:r>
    </w:p>
    <w:p w14:paraId="20906DF8">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5C9C56C6">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1004C4F5">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2D0F26A6">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18CFB628">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377DF2AE">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5AEC5810">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p>
    <w:p w14:paraId="66119FBA">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p>
    <w:p w14:paraId="4C138EE7">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3</w:t>
      </w:r>
    </w:p>
    <w:p w14:paraId="730AB5A1">
      <w:pPr>
        <w:keepNext w:val="0"/>
        <w:keepLines w:val="0"/>
        <w:pageBreakBefore w:val="0"/>
        <w:kinsoku/>
        <w:wordWrap/>
        <w:topLinePunct w:val="0"/>
        <w:bidi w:val="0"/>
        <w:spacing w:line="240" w:lineRule="auto"/>
        <w:ind w:firstLine="3640" w:firstLineChars="13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告知函</w:t>
      </w:r>
    </w:p>
    <w:p w14:paraId="0599EF9F">
      <w:pPr>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 xml:space="preserve"> </w:t>
      </w:r>
    </w:p>
    <w:p w14:paraId="29B3993D">
      <w:pPr>
        <w:keepNext w:val="0"/>
        <w:keepLines w:val="0"/>
        <w:pageBreakBefore w:val="0"/>
        <w:kinsoku/>
        <w:wordWrap/>
        <w:topLinePunct w:val="0"/>
        <w:bidi w:val="0"/>
        <w:spacing w:before="156" w:beforeLines="50" w:after="156" w:afterLines="50" w:line="24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 xml:space="preserve">(项目编号: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)，并提交下述文件一份：</w:t>
      </w:r>
    </w:p>
    <w:p w14:paraId="5C1F7085">
      <w:pPr>
        <w:keepNext w:val="0"/>
        <w:keepLines w:val="0"/>
        <w:pageBreakBefore w:val="0"/>
        <w:kinsoku/>
        <w:wordWrap/>
        <w:topLinePunct w:val="0"/>
        <w:bidi w:val="0"/>
        <w:spacing w:before="50" w:after="156" w:afterLines="50"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476758B7">
      <w:pPr>
        <w:keepNext w:val="0"/>
        <w:keepLines w:val="0"/>
        <w:pageBreakBefore w:val="0"/>
        <w:tabs>
          <w:tab w:val="left" w:pos="1134"/>
        </w:tabs>
        <w:kinsoku/>
        <w:wordWrap/>
        <w:topLinePunct w:val="0"/>
        <w:bidi w:val="0"/>
        <w:spacing w:line="240" w:lineRule="auto"/>
        <w:ind w:firstLine="56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、离职人员。情况二：我公司员工</w:t>
      </w:r>
      <w:r>
        <w:rPr>
          <w:rFonts w:hint="eastAsia" w:ascii="仿宋" w:hAnsi="仿宋" w:eastAsia="仿宋" w:cs="仿宋"/>
          <w:sz w:val="28"/>
          <w:szCs w:val="28"/>
          <w:highlight w:val="none"/>
          <w:u w:val="single"/>
        </w:rPr>
        <w:t xml:space="preserve">  </w:t>
      </w:r>
      <w:r>
        <w:rPr>
          <w:rFonts w:hint="eastAsia" w:ascii="仿宋" w:hAnsi="仿宋" w:eastAsia="仿宋" w:cs="仿宋"/>
          <w:i/>
          <w:color w:val="FF0000"/>
          <w:sz w:val="28"/>
          <w:szCs w:val="28"/>
          <w:highlight w:val="none"/>
          <w:u w:val="single"/>
        </w:rPr>
        <w:t>（如存在填写人名，如不存在写没有存在）</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2B9F27">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4E3B317C">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635C28DD">
      <w:pPr>
        <w:keepNext w:val="0"/>
        <w:keepLines w:val="0"/>
        <w:pageBreakBefore w:val="0"/>
        <w:widowControl/>
        <w:kinsoku/>
        <w:wordWrap/>
        <w:topLinePunct w:val="0"/>
        <w:bidi w:val="0"/>
        <w:spacing w:line="240" w:lineRule="auto"/>
        <w:jc w:val="left"/>
        <w:rPr>
          <w:rFonts w:hint="eastAsia" w:ascii="仿宋" w:hAnsi="仿宋" w:eastAsia="仿宋" w:cs="仿宋"/>
          <w:sz w:val="28"/>
          <w:szCs w:val="28"/>
          <w:highlight w:val="none"/>
          <w:lang w:bidi="ar"/>
        </w:rPr>
      </w:pPr>
      <w:r>
        <w:rPr>
          <w:rFonts w:hint="eastAsia" w:ascii="仿宋" w:hAnsi="仿宋" w:eastAsia="仿宋" w:cs="仿宋"/>
          <w:color w:val="000000"/>
          <w:sz w:val="28"/>
          <w:szCs w:val="28"/>
          <w:highlight w:val="none"/>
          <w:lang w:bidi="ar"/>
        </w:rPr>
        <w:t xml:space="preserve">    日期：</w:t>
      </w:r>
      <w:r>
        <w:rPr>
          <w:rFonts w:hint="eastAsia" w:ascii="仿宋" w:hAnsi="仿宋" w:eastAsia="仿宋" w:cs="仿宋"/>
          <w:sz w:val="28"/>
          <w:szCs w:val="28"/>
          <w:highlight w:val="none"/>
          <w:lang w:bidi="ar"/>
        </w:rPr>
        <w:t xml:space="preserve"> </w:t>
      </w:r>
    </w:p>
    <w:p w14:paraId="7B4D8408">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lang w:bidi="ar"/>
        </w:rPr>
      </w:pPr>
    </w:p>
    <w:p w14:paraId="2AB2BAF3">
      <w:pPr>
        <w:keepNext w:val="0"/>
        <w:keepLines w:val="0"/>
        <w:pageBreakBefore w:val="0"/>
        <w:widowControl/>
        <w:kinsoku/>
        <w:wordWrap/>
        <w:topLinePunct w:val="0"/>
        <w:bidi w:val="0"/>
        <w:spacing w:line="240" w:lineRule="auto"/>
        <w:jc w:val="left"/>
        <w:rPr>
          <w:rFonts w:hint="eastAsia" w:ascii="仿宋" w:hAnsi="仿宋" w:eastAsia="仿宋" w:cs="仿宋"/>
          <w:color w:val="A6A6A6" w:themeColor="background1" w:themeShade="A6"/>
          <w:kern w:val="0"/>
          <w:sz w:val="28"/>
          <w:szCs w:val="28"/>
          <w:highlight w:val="none"/>
          <w:lang w:eastAsia="zh-CN" w:bidi="ar"/>
        </w:rPr>
      </w:pPr>
      <w:r>
        <w:rPr>
          <w:rFonts w:hint="eastAsia" w:ascii="仿宋" w:hAnsi="仿宋" w:eastAsia="仿宋" w:cs="仿宋"/>
          <w:color w:val="A6A6A6" w:themeColor="background1" w:themeShade="A6"/>
          <w:kern w:val="0"/>
          <w:sz w:val="28"/>
          <w:szCs w:val="28"/>
          <w:highlight w:val="none"/>
          <w:lang w:eastAsia="zh-CN" w:bidi="ar"/>
        </w:rPr>
        <w:t>（</w:t>
      </w:r>
      <w:r>
        <w:rPr>
          <w:rFonts w:hint="eastAsia" w:ascii="仿宋" w:hAnsi="仿宋" w:eastAsia="仿宋" w:cs="仿宋"/>
          <w:color w:val="A6A6A6" w:themeColor="background1" w:themeShade="A6"/>
          <w:kern w:val="0"/>
          <w:sz w:val="28"/>
          <w:szCs w:val="28"/>
          <w:highlight w:val="none"/>
          <w:lang w:val="en-US" w:eastAsia="zh-CN" w:bidi="ar"/>
        </w:rPr>
        <w:t>仅供参考</w:t>
      </w:r>
      <w:r>
        <w:rPr>
          <w:rFonts w:hint="eastAsia" w:ascii="仿宋" w:hAnsi="仿宋" w:eastAsia="仿宋" w:cs="仿宋"/>
          <w:color w:val="A6A6A6" w:themeColor="background1" w:themeShade="A6"/>
          <w:kern w:val="0"/>
          <w:sz w:val="28"/>
          <w:szCs w:val="28"/>
          <w:highlight w:val="none"/>
          <w:lang w:eastAsia="zh-CN" w:bidi="ar"/>
        </w:rPr>
        <w:t>）</w:t>
      </w:r>
    </w:p>
    <w:p w14:paraId="097CC4B8">
      <w:pPr>
        <w:keepNext w:val="0"/>
        <w:keepLines w:val="0"/>
        <w:pageBreakBefore w:val="0"/>
        <w:widowControl/>
        <w:kinsoku/>
        <w:wordWrap/>
        <w:topLinePunct w:val="0"/>
        <w:bidi w:val="0"/>
        <w:spacing w:line="240" w:lineRule="auto"/>
        <w:jc w:val="left"/>
        <w:rPr>
          <w:rFonts w:hint="eastAsia" w:ascii="仿宋" w:hAnsi="仿宋" w:eastAsia="仿宋" w:cs="仿宋"/>
          <w:b w:val="0"/>
          <w:bCs w:val="0"/>
          <w:sz w:val="28"/>
          <w:szCs w:val="28"/>
          <w:highlight w:val="none"/>
        </w:rPr>
      </w:pPr>
      <w:r>
        <w:rPr>
          <w:rFonts w:hint="eastAsia" w:ascii="仿宋" w:hAnsi="仿宋" w:eastAsia="仿宋" w:cs="仿宋"/>
          <w:b w:val="0"/>
          <w:bCs w:val="0"/>
          <w:kern w:val="0"/>
          <w:sz w:val="28"/>
          <w:szCs w:val="28"/>
          <w:highlight w:val="none"/>
          <w:lang w:bidi="ar"/>
        </w:rPr>
        <w:t>阳光协议</w:t>
      </w:r>
    </w:p>
    <w:p w14:paraId="54EA926D">
      <w:pPr>
        <w:keepNext w:val="0"/>
        <w:keepLines w:val="0"/>
        <w:pageBreakBefore w:val="0"/>
        <w:widowControl/>
        <w:kinsoku/>
        <w:wordWrap/>
        <w:topLinePunct w:val="0"/>
        <w:bidi w:val="0"/>
        <w:spacing w:line="240" w:lineRule="auto"/>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甲方：</w:t>
      </w:r>
      <w:r>
        <w:rPr>
          <w:rFonts w:hint="eastAsia" w:ascii="仿宋" w:hAnsi="仿宋" w:eastAsia="仿宋" w:cs="仿宋"/>
          <w:color w:val="A6A6A6" w:themeColor="background1" w:themeShade="A6"/>
          <w:kern w:val="0"/>
          <w:sz w:val="28"/>
          <w:szCs w:val="28"/>
          <w:highlight w:val="none"/>
          <w:lang w:bidi="ar"/>
        </w:rPr>
        <w:t>内蒙古蒙牛乳业（集团）股份有限公司或其关联的独立法人单位</w:t>
      </w:r>
    </w:p>
    <w:p w14:paraId="488E1106">
      <w:pPr>
        <w:keepNext w:val="0"/>
        <w:keepLines w:val="0"/>
        <w:pageBreakBefore w:val="0"/>
        <w:widowControl/>
        <w:kinsoku/>
        <w:wordWrap/>
        <w:topLinePunct w:val="0"/>
        <w:bidi w:val="0"/>
        <w:spacing w:line="240" w:lineRule="auto"/>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乙方：</w:t>
      </w:r>
    </w:p>
    <w:p w14:paraId="71A54D3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sz w:val="28"/>
          <w:szCs w:val="28"/>
          <w:highlight w:val="none"/>
        </w:rPr>
        <w:t>甲、乙双方经过平等协商</w:t>
      </w:r>
      <w:r>
        <w:rPr>
          <w:rFonts w:hint="eastAsia" w:ascii="仿宋" w:hAnsi="仿宋" w:eastAsia="仿宋" w:cs="仿宋"/>
          <w:sz w:val="28"/>
          <w:szCs w:val="28"/>
          <w:highlight w:val="none"/>
          <w:lang w:bidi="ar"/>
        </w:rPr>
        <w:t>，订立本协议。本协议是双方所签</w:t>
      </w:r>
    </w:p>
    <w:p w14:paraId="61ABD8E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bidi="ar"/>
        </w:rPr>
        <w:t xml:space="preserve">                              </w:t>
      </w:r>
      <w:r>
        <w:rPr>
          <w:rFonts w:hint="eastAsia" w:ascii="仿宋" w:hAnsi="仿宋" w:eastAsia="仿宋" w:cs="仿宋"/>
          <w:sz w:val="28"/>
          <w:szCs w:val="28"/>
          <w:highlight w:val="none"/>
          <w:lang w:bidi="ar"/>
        </w:rPr>
        <w:t>合同（以下简称“主合同”）的附件，应与主合同同时签订，</w:t>
      </w:r>
      <w:r>
        <w:rPr>
          <w:rFonts w:hint="eastAsia" w:ascii="仿宋" w:hAnsi="仿宋" w:eastAsia="仿宋" w:cs="仿宋"/>
          <w:sz w:val="28"/>
          <w:szCs w:val="28"/>
          <w:highlight w:val="none"/>
        </w:rPr>
        <w:t>共同遵守。</w:t>
      </w:r>
    </w:p>
    <w:p w14:paraId="7D10804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24EE3FA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5019685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50E4420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02211E8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1.坚守诚信原则，在合作过程中不以</w:t>
      </w:r>
      <w:r>
        <w:rPr>
          <w:rFonts w:hint="eastAsia" w:ascii="仿宋" w:hAnsi="仿宋" w:eastAsia="仿宋" w:cs="仿宋"/>
          <w:sz w:val="28"/>
          <w:szCs w:val="28"/>
          <w:highlight w:val="none"/>
        </w:rPr>
        <w:t>任何方式贿赂对方公司人员及其亲属、特定关系人，不</w:t>
      </w:r>
      <w:r>
        <w:rPr>
          <w:rFonts w:hint="eastAsia" w:ascii="仿宋" w:hAnsi="仿宋" w:eastAsia="仿宋" w:cs="仿宋"/>
          <w:kern w:val="0"/>
          <w:sz w:val="28"/>
          <w:szCs w:val="28"/>
          <w:highlight w:val="none"/>
          <w:lang w:bidi="ar"/>
        </w:rPr>
        <w:t>发生舞弊、腐败、欺诈行为。</w:t>
      </w:r>
    </w:p>
    <w:p w14:paraId="3466811E">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2.在执行业务合作中，双方均不得采用隐瞒、欺骗等手段侵占另一方财物，或损害另一方其他合法利益。</w:t>
      </w:r>
    </w:p>
    <w:p w14:paraId="1A9DDD3C">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2C9CA25">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三、双方权利和义务</w:t>
      </w:r>
    </w:p>
    <w:p w14:paraId="414C0A4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（一）甲方权利、义务</w:t>
      </w:r>
    </w:p>
    <w:p w14:paraId="33A46D0C">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sz w:val="28"/>
          <w:szCs w:val="28"/>
          <w:highlight w:val="none"/>
          <w:lang w:eastAsia="zh-Hans"/>
        </w:rPr>
        <w:t>作出说明</w:t>
      </w:r>
      <w:r>
        <w:rPr>
          <w:rFonts w:hint="eastAsia" w:ascii="仿宋" w:hAnsi="仿宋" w:eastAsia="仿宋" w:cs="仿宋"/>
          <w:sz w:val="28"/>
          <w:szCs w:val="28"/>
          <w:highlight w:val="none"/>
        </w:rPr>
        <w:t>，同时可采取减少</w:t>
      </w:r>
      <w:r>
        <w:rPr>
          <w:rFonts w:hint="eastAsia" w:ascii="仿宋" w:hAnsi="仿宋" w:eastAsia="仿宋" w:cs="仿宋"/>
          <w:sz w:val="28"/>
          <w:szCs w:val="28"/>
          <w:highlight w:val="none"/>
          <w:lang w:eastAsia="zh-Hans"/>
        </w:rPr>
        <w:t>供货量</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Hans"/>
        </w:rPr>
        <w:t>暂停业务关系</w:t>
      </w:r>
      <w:r>
        <w:rPr>
          <w:rFonts w:hint="eastAsia" w:ascii="仿宋" w:hAnsi="仿宋" w:eastAsia="仿宋" w:cs="仿宋"/>
          <w:sz w:val="28"/>
          <w:szCs w:val="28"/>
          <w:highlight w:val="none"/>
        </w:rPr>
        <w:t>、启动合作</w:t>
      </w:r>
      <w:r>
        <w:rPr>
          <w:rFonts w:hint="eastAsia" w:ascii="仿宋" w:hAnsi="仿宋" w:eastAsia="仿宋" w:cs="仿宋"/>
          <w:sz w:val="28"/>
          <w:szCs w:val="28"/>
          <w:highlight w:val="none"/>
          <w:lang w:eastAsia="zh-Hans"/>
        </w:rPr>
        <w:t>观察期</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Hans"/>
        </w:rPr>
        <w:t>违约责任支付违约金</w:t>
      </w:r>
      <w:r>
        <w:rPr>
          <w:rFonts w:hint="eastAsia" w:ascii="仿宋" w:hAnsi="仿宋" w:eastAsia="仿宋" w:cs="仿宋"/>
          <w:sz w:val="28"/>
          <w:szCs w:val="28"/>
          <w:highlight w:val="none"/>
        </w:rPr>
        <w:t>（追偿损失）、解除业务合同、</w:t>
      </w:r>
      <w:r>
        <w:rPr>
          <w:rFonts w:hint="eastAsia" w:ascii="仿宋" w:hAnsi="仿宋" w:eastAsia="仿宋" w:cs="仿宋"/>
          <w:sz w:val="28"/>
          <w:szCs w:val="28"/>
          <w:highlight w:val="none"/>
          <w:lang w:eastAsia="zh-Hans"/>
        </w:rPr>
        <w:t>列入</w:t>
      </w:r>
      <w:r>
        <w:rPr>
          <w:rFonts w:hint="eastAsia" w:ascii="仿宋" w:hAnsi="仿宋" w:eastAsia="仿宋" w:cs="仿宋"/>
          <w:sz w:val="28"/>
          <w:szCs w:val="28"/>
          <w:highlight w:val="none"/>
        </w:rPr>
        <w:t>合作方</w:t>
      </w:r>
      <w:r>
        <w:rPr>
          <w:rFonts w:hint="eastAsia" w:ascii="仿宋" w:hAnsi="仿宋" w:eastAsia="仿宋" w:cs="仿宋"/>
          <w:sz w:val="28"/>
          <w:szCs w:val="28"/>
          <w:highlight w:val="none"/>
          <w:lang w:eastAsia="zh-Hans"/>
        </w:rPr>
        <w:t>黑名单</w:t>
      </w:r>
      <w:r>
        <w:rPr>
          <w:rFonts w:hint="eastAsia" w:ascii="仿宋" w:hAnsi="仿宋" w:eastAsia="仿宋" w:cs="仿宋"/>
          <w:sz w:val="28"/>
          <w:szCs w:val="28"/>
          <w:highlight w:val="none"/>
        </w:rPr>
        <w:t>等方式进行违约处理</w:t>
      </w:r>
      <w:r>
        <w:rPr>
          <w:rFonts w:hint="eastAsia" w:ascii="仿宋" w:hAnsi="仿宋" w:eastAsia="仿宋" w:cs="仿宋"/>
          <w:sz w:val="28"/>
          <w:szCs w:val="28"/>
          <w:highlight w:val="none"/>
          <w:lang w:eastAsia="zh-Hans"/>
        </w:rPr>
        <w:t>，以上</w:t>
      </w:r>
      <w:r>
        <w:rPr>
          <w:rFonts w:hint="eastAsia" w:ascii="仿宋" w:hAnsi="仿宋" w:eastAsia="仿宋" w:cs="仿宋"/>
          <w:sz w:val="28"/>
          <w:szCs w:val="28"/>
          <w:highlight w:val="none"/>
        </w:rPr>
        <w:t>处理方式</w:t>
      </w:r>
      <w:r>
        <w:rPr>
          <w:rFonts w:hint="eastAsia" w:ascii="仿宋" w:hAnsi="仿宋" w:eastAsia="仿宋" w:cs="仿宋"/>
          <w:sz w:val="28"/>
          <w:szCs w:val="28"/>
          <w:highlight w:val="none"/>
          <w:lang w:eastAsia="zh-Hans"/>
        </w:rPr>
        <w:t>可单独适用，也可合并适用</w:t>
      </w:r>
      <w:r>
        <w:rPr>
          <w:rFonts w:hint="eastAsia" w:ascii="仿宋" w:hAnsi="仿宋" w:eastAsia="仿宋" w:cs="仿宋"/>
          <w:sz w:val="28"/>
          <w:szCs w:val="28"/>
          <w:highlight w:val="none"/>
        </w:rPr>
        <w:t>。</w:t>
      </w:r>
    </w:p>
    <w:p w14:paraId="7FF7339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w:t>
      </w:r>
      <w:r>
        <w:rPr>
          <w:rFonts w:hint="eastAsia" w:ascii="仿宋" w:hAnsi="仿宋" w:eastAsia="仿宋" w:cs="仿宋"/>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highlight w:val="none"/>
          <w:lang w:eastAsia="zh-Hans" w:bidi="ar"/>
        </w:rPr>
        <w:t>该公司视为已</w:t>
      </w:r>
      <w:r>
        <w:rPr>
          <w:rFonts w:hint="eastAsia" w:ascii="仿宋" w:hAnsi="仿宋" w:eastAsia="仿宋" w:cs="仿宋"/>
          <w:kern w:val="0"/>
          <w:sz w:val="28"/>
          <w:szCs w:val="28"/>
          <w:highlight w:val="none"/>
          <w:lang w:bidi="ar"/>
        </w:rPr>
        <w:t>被</w:t>
      </w:r>
      <w:r>
        <w:rPr>
          <w:rFonts w:hint="eastAsia" w:ascii="仿宋" w:hAnsi="仿宋" w:eastAsia="仿宋" w:cs="仿宋"/>
          <w:kern w:val="0"/>
          <w:sz w:val="28"/>
          <w:szCs w:val="28"/>
          <w:highlight w:val="none"/>
          <w:lang w:eastAsia="zh-Hans" w:bidi="ar"/>
        </w:rPr>
        <w:t>列入黑名单</w:t>
      </w:r>
      <w:r>
        <w:rPr>
          <w:rFonts w:hint="eastAsia" w:ascii="仿宋" w:hAnsi="仿宋" w:eastAsia="仿宋" w:cs="仿宋"/>
          <w:kern w:val="0"/>
          <w:sz w:val="28"/>
          <w:szCs w:val="28"/>
          <w:highlight w:val="none"/>
          <w:lang w:bidi="ar"/>
        </w:rPr>
        <w:t>。</w:t>
      </w:r>
    </w:p>
    <w:p w14:paraId="65EAF73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01440C9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举报电话：0471-7393612</w:t>
      </w:r>
    </w:p>
    <w:p w14:paraId="6BF7B89C">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eastAsia="zh-Hans"/>
        </w:rPr>
        <w:t>mnjw@mengniu.cn</w:t>
      </w:r>
      <w:r>
        <w:rPr>
          <w:rFonts w:hint="eastAsia" w:ascii="仿宋" w:hAnsi="仿宋" w:eastAsia="仿宋" w:cs="仿宋"/>
          <w:kern w:val="0"/>
          <w:sz w:val="28"/>
          <w:szCs w:val="28"/>
          <w:highlight w:val="none"/>
          <w:lang w:eastAsia="zh-Hans"/>
        </w:rPr>
        <w:fldChar w:fldCharType="end"/>
      </w:r>
    </w:p>
    <w:p w14:paraId="20A6F1B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邮寄地址：内蒙古呼和浩特市和林格尔盛乐经济园区蒙牛乳业奶源楼311室 纪委办公室（收）</w:t>
      </w:r>
    </w:p>
    <w:p w14:paraId="72E72B7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eastAsia="zh-Hans" w:bidi="ar"/>
        </w:rPr>
        <w:t>邮政编码：011517</w:t>
      </w:r>
    </w:p>
    <w:p w14:paraId="3A29FCC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（二）乙方权利、义务</w:t>
      </w:r>
    </w:p>
    <w:p w14:paraId="37BC16FA">
      <w:pPr>
        <w:keepNext w:val="0"/>
        <w:keepLines w:val="0"/>
        <w:pageBreakBefore w:val="0"/>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2DAA5FC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乙方保证，在投标过程中，不发生以下行为：</w:t>
      </w:r>
    </w:p>
    <w:p w14:paraId="7489BA2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（1）乙方在投标中存在提供虚假材料，欺骗中标</w:t>
      </w:r>
      <w:r>
        <w:rPr>
          <w:rFonts w:hint="eastAsia" w:ascii="仿宋" w:hAnsi="仿宋" w:eastAsia="仿宋" w:cs="仿宋"/>
          <w:kern w:val="0"/>
          <w:sz w:val="28"/>
          <w:szCs w:val="28"/>
          <w:highlight w:val="none"/>
          <w:lang w:bidi="ar"/>
        </w:rPr>
        <w:t>；</w:t>
      </w:r>
    </w:p>
    <w:p w14:paraId="7425CA8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（2）乙方在投标时</w:t>
      </w:r>
      <w:r>
        <w:rPr>
          <w:rFonts w:hint="eastAsia" w:ascii="仿宋" w:hAnsi="仿宋" w:eastAsia="仿宋" w:cs="仿宋"/>
          <w:sz w:val="28"/>
          <w:szCs w:val="28"/>
          <w:highlight w:val="none"/>
        </w:rPr>
        <w:t>存在围标串标</w:t>
      </w:r>
      <w:r>
        <w:rPr>
          <w:rFonts w:hint="eastAsia" w:ascii="仿宋" w:hAnsi="仿宋" w:eastAsia="仿宋" w:cs="仿宋"/>
          <w:kern w:val="0"/>
          <w:sz w:val="28"/>
          <w:szCs w:val="28"/>
          <w:highlight w:val="none"/>
          <w:lang w:bidi="ar"/>
        </w:rPr>
        <w:t>；</w:t>
      </w:r>
    </w:p>
    <w:p w14:paraId="776E6A90">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（3）乙方在投标时贿赂、拉拢甲方人员</w:t>
      </w:r>
      <w:r>
        <w:rPr>
          <w:rFonts w:hint="eastAsia" w:ascii="仿宋" w:hAnsi="仿宋" w:eastAsia="仿宋" w:cs="仿宋"/>
          <w:kern w:val="0"/>
          <w:sz w:val="28"/>
          <w:szCs w:val="28"/>
          <w:highlight w:val="none"/>
          <w:lang w:bidi="ar"/>
        </w:rPr>
        <w:t>；</w:t>
      </w:r>
    </w:p>
    <w:p w14:paraId="640DEE1E">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（4）其他违反招投标相关规定的行为。</w:t>
      </w:r>
    </w:p>
    <w:p w14:paraId="442EB3C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3.乙方保证，在合作过程中，乙方的管理人员、股东、</w:t>
      </w:r>
      <w:r>
        <w:rPr>
          <w:rFonts w:hint="eastAsia" w:ascii="仿宋" w:hAnsi="仿宋" w:eastAsia="仿宋" w:cs="仿宋"/>
          <w:kern w:val="0"/>
          <w:sz w:val="28"/>
          <w:szCs w:val="28"/>
          <w:highlight w:val="none"/>
          <w:lang w:bidi="ar"/>
        </w:rPr>
        <w:t>项目对接人员</w:t>
      </w:r>
      <w:r>
        <w:rPr>
          <w:rFonts w:hint="eastAsia" w:ascii="仿宋" w:hAnsi="仿宋" w:eastAsia="仿宋" w:cs="仿宋"/>
          <w:kern w:val="0"/>
          <w:sz w:val="28"/>
          <w:szCs w:val="28"/>
          <w:highlight w:val="none"/>
          <w:lang w:eastAsia="zh-Hans" w:bidi="ar"/>
        </w:rPr>
        <w:t>与甲方项目有关的管理人员或</w:t>
      </w:r>
      <w:r>
        <w:rPr>
          <w:rFonts w:hint="eastAsia" w:ascii="仿宋" w:hAnsi="仿宋" w:eastAsia="仿宋" w:cs="仿宋"/>
          <w:kern w:val="0"/>
          <w:sz w:val="28"/>
          <w:szCs w:val="28"/>
          <w:highlight w:val="none"/>
          <w:lang w:bidi="ar"/>
        </w:rPr>
        <w:t>项目对接人</w:t>
      </w:r>
      <w:r>
        <w:rPr>
          <w:rFonts w:hint="eastAsia" w:ascii="仿宋" w:hAnsi="仿宋" w:eastAsia="仿宋" w:cs="仿宋"/>
          <w:kern w:val="0"/>
          <w:sz w:val="28"/>
          <w:szCs w:val="28"/>
          <w:highlight w:val="none"/>
          <w:lang w:eastAsia="zh-Hans" w:bidi="ar"/>
        </w:rPr>
        <w:t>员不存在亲属关系、共同利益关系。</w:t>
      </w:r>
    </w:p>
    <w:p w14:paraId="13E1559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4.乙方保证，在双方合作过程中，未接受甲方离职二年内的管理人员和关键业务人员在其公司参股、控股或任职。</w:t>
      </w:r>
    </w:p>
    <w:p w14:paraId="2BF237A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5.乙方保证，在合作过程中，乙方（含利益关联方）不得在甲方管理人员和关键业务人员的亲属（含特定关系人）的利益关联公司入股或发生有关业务。</w:t>
      </w:r>
    </w:p>
    <w:p w14:paraId="52615DF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6.乙方不得与甲方人员发生任何形式的财物往来，期间包括但不限于合同履约期间。</w:t>
      </w:r>
    </w:p>
    <w:p w14:paraId="3290C2C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7.</w:t>
      </w:r>
      <w:r>
        <w:rPr>
          <w:rFonts w:hint="eastAsia" w:ascii="仿宋" w:hAnsi="仿宋" w:eastAsia="仿宋" w:cs="仿宋"/>
          <w:kern w:val="0"/>
          <w:sz w:val="28"/>
          <w:szCs w:val="28"/>
          <w:highlight w:val="none"/>
          <w:lang w:eastAsia="zh-Hans" w:bidi="ar"/>
        </w:rPr>
        <w:t>若甲乙双方依照行业惯例或通常做法，可能发生商务性、礼节性的小额礼品互赠，则须在合同中明示，但每一年度累计金额不得超过1000元。</w:t>
      </w:r>
    </w:p>
    <w:p w14:paraId="71F4E99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（三）双方共同义务</w:t>
      </w:r>
    </w:p>
    <w:p w14:paraId="29753BE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甲乙双方有关人员的商业贿赂行为构成犯罪并移交司法机关处理的，合同各方应积极配合司法机关的处理。</w:t>
      </w:r>
    </w:p>
    <w:p w14:paraId="097D87E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四、违约责任</w:t>
      </w:r>
    </w:p>
    <w:p w14:paraId="5AA4F5E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乙方违反本协议约定，拒不履行相关义务的，视为乙方违约。</w:t>
      </w:r>
    </w:p>
    <w:p w14:paraId="0672CCFC">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2E9F58A6">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--非自然年度累计价值在1000元（含）以上、5000元以下</w:t>
      </w:r>
      <w:r>
        <w:rPr>
          <w:rFonts w:hint="eastAsia" w:ascii="仿宋" w:hAnsi="仿宋" w:eastAsia="仿宋" w:cs="仿宋"/>
          <w:kern w:val="0"/>
          <w:sz w:val="28"/>
          <w:szCs w:val="28"/>
          <w:highlight w:val="none"/>
          <w:lang w:val="en-US" w:eastAsia="zh-CN" w:bidi="ar"/>
        </w:rPr>
        <w:t>的</w:t>
      </w:r>
      <w:r>
        <w:rPr>
          <w:rFonts w:hint="eastAsia" w:ascii="仿宋" w:hAnsi="仿宋" w:eastAsia="仿宋" w:cs="仿宋"/>
          <w:kern w:val="0"/>
          <w:sz w:val="28"/>
          <w:szCs w:val="28"/>
          <w:highlight w:val="none"/>
          <w:lang w:bidi="ar"/>
        </w:rPr>
        <w:t>，甲方将情况通报乙方，要求乙方作出说明，同时视情况可以要求乙方按照违约责任支付违约金、减少乙方供货量、暂停业务关系。</w:t>
      </w:r>
    </w:p>
    <w:p w14:paraId="3080480D">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--非自然年度累计价值在5000元（含）以上、3万元以下</w:t>
      </w:r>
      <w:r>
        <w:rPr>
          <w:rFonts w:hint="eastAsia" w:ascii="仿宋" w:hAnsi="仿宋" w:eastAsia="仿宋" w:cs="仿宋"/>
          <w:kern w:val="0"/>
          <w:sz w:val="28"/>
          <w:szCs w:val="28"/>
          <w:highlight w:val="none"/>
          <w:lang w:val="en-US" w:eastAsia="zh-CN" w:bidi="ar"/>
        </w:rPr>
        <w:t>的</w:t>
      </w:r>
      <w:r>
        <w:rPr>
          <w:rFonts w:hint="eastAsia" w:ascii="仿宋" w:hAnsi="仿宋" w:eastAsia="仿宋" w:cs="仿宋"/>
          <w:kern w:val="0"/>
          <w:sz w:val="28"/>
          <w:szCs w:val="28"/>
          <w:highlight w:val="none"/>
          <w:lang w:bidi="ar"/>
        </w:rPr>
        <w:t>，甲方将情况通报乙方，要求乙方作出说明，同时视情况可以要求乙方按照违约责任支付违约金、减少乙方供货量、暂停业务关系，并可以将乙方列入黑名单。</w:t>
      </w:r>
    </w:p>
    <w:p w14:paraId="51B00545">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--非自然年度累计价值在3万元（含）以上</w:t>
      </w:r>
      <w:r>
        <w:rPr>
          <w:rFonts w:hint="eastAsia" w:ascii="仿宋" w:hAnsi="仿宋" w:eastAsia="仿宋" w:cs="仿宋"/>
          <w:kern w:val="0"/>
          <w:sz w:val="28"/>
          <w:szCs w:val="28"/>
          <w:highlight w:val="none"/>
          <w:lang w:val="en-US" w:eastAsia="zh-CN" w:bidi="ar"/>
        </w:rPr>
        <w:t>的</w:t>
      </w:r>
      <w:r>
        <w:rPr>
          <w:rFonts w:hint="eastAsia" w:ascii="仿宋" w:hAnsi="仿宋" w:eastAsia="仿宋" w:cs="仿宋"/>
          <w:kern w:val="0"/>
          <w:sz w:val="28"/>
          <w:szCs w:val="28"/>
          <w:highlight w:val="none"/>
          <w:lang w:bidi="ar"/>
        </w:rPr>
        <w:t>，或采用隐瞒、欺骗等手段严重损害甲方利益的，甲方将情况通报乙方，要求乙方作出说明，同时要求乙方按照违约责任支付违约金，并应当将乙方列入黑名单。</w:t>
      </w:r>
    </w:p>
    <w:p w14:paraId="1EC1C163">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6201579">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3.若乙方存在本协议第三条第1款第3项、第三条第2款第2-6项、第四条“违约责任”第1款第三项</w:t>
      </w:r>
      <w:r>
        <w:rPr>
          <w:rFonts w:hint="eastAsia" w:ascii="仿宋" w:hAnsi="仿宋" w:eastAsia="仿宋" w:cs="仿宋"/>
          <w:kern w:val="0"/>
          <w:sz w:val="28"/>
          <w:szCs w:val="28"/>
          <w:highlight w:val="none"/>
          <w:lang w:eastAsia="zh-Hans" w:bidi="ar"/>
        </w:rPr>
        <w:t>规定的任意一种行为，</w:t>
      </w:r>
      <w:r>
        <w:rPr>
          <w:rFonts w:hint="eastAsia" w:ascii="仿宋" w:hAnsi="仿宋" w:eastAsia="仿宋" w:cs="仿宋"/>
          <w:kern w:val="0"/>
          <w:sz w:val="28"/>
          <w:szCs w:val="28"/>
          <w:highlight w:val="none"/>
          <w:lang w:bidi="ar"/>
        </w:rPr>
        <w:t>甲方将</w:t>
      </w:r>
      <w:r>
        <w:rPr>
          <w:rFonts w:hint="eastAsia" w:ascii="仿宋" w:hAnsi="仿宋" w:eastAsia="仿宋" w:cs="仿宋"/>
          <w:kern w:val="0"/>
          <w:sz w:val="28"/>
          <w:szCs w:val="28"/>
          <w:highlight w:val="none"/>
          <w:lang w:eastAsia="zh-Hans" w:bidi="ar"/>
        </w:rPr>
        <w:t>以书面通知</w:t>
      </w:r>
      <w:r>
        <w:rPr>
          <w:rFonts w:hint="eastAsia" w:ascii="仿宋" w:hAnsi="仿宋" w:eastAsia="仿宋" w:cs="仿宋"/>
          <w:kern w:val="0"/>
          <w:sz w:val="28"/>
          <w:szCs w:val="28"/>
          <w:highlight w:val="none"/>
          <w:lang w:bidi="ar"/>
        </w:rPr>
        <w:t>形式立即解除主合同，将乙方列入黑名单，并要求乙方</w:t>
      </w:r>
      <w:r>
        <w:rPr>
          <w:rFonts w:hint="eastAsia" w:ascii="仿宋" w:hAnsi="仿宋" w:eastAsia="仿宋" w:cs="仿宋"/>
          <w:kern w:val="0"/>
          <w:sz w:val="28"/>
          <w:szCs w:val="28"/>
          <w:highlight w:val="none"/>
          <w:lang w:eastAsia="zh-Hans" w:bidi="ar"/>
        </w:rPr>
        <w:t>承担以下违约责任：</w:t>
      </w:r>
    </w:p>
    <w:p w14:paraId="3186A1C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（1）</w:t>
      </w:r>
      <w:r>
        <w:rPr>
          <w:rFonts w:hint="eastAsia" w:ascii="仿宋" w:hAnsi="仿宋" w:eastAsia="仿宋" w:cs="仿宋"/>
          <w:kern w:val="0"/>
          <w:sz w:val="28"/>
          <w:szCs w:val="28"/>
          <w:highlight w:val="none"/>
          <w:lang w:eastAsia="zh-Hans" w:bidi="ar"/>
        </w:rPr>
        <w:t>按主合同总价款的20%支付违约金。</w:t>
      </w:r>
    </w:p>
    <w:p w14:paraId="483660E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无主合同总价款的按照已发生业务总额的20%支付违约金；无主合同总价款且暂未发生业务的，扣除合同履约保证金。</w:t>
      </w:r>
    </w:p>
    <w:p w14:paraId="1A86AE7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因主合同解除造成甲方其他损失的，按照主合同约定赔偿损失。</w:t>
      </w:r>
    </w:p>
    <w:p w14:paraId="42D1F420">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（4）</w:t>
      </w:r>
      <w:r>
        <w:rPr>
          <w:rFonts w:hint="eastAsia" w:ascii="仿宋" w:hAnsi="仿宋" w:eastAsia="仿宋" w:cs="仿宋"/>
          <w:kern w:val="0"/>
          <w:sz w:val="28"/>
          <w:szCs w:val="28"/>
          <w:highlight w:val="none"/>
          <w:lang w:eastAsia="zh-Hans" w:bidi="ar"/>
        </w:rPr>
        <w:t>如乙方未按约定支付违约金，乙方同意并认可使用保证金、预付款、应付款等款项冲抵违约金。</w:t>
      </w:r>
    </w:p>
    <w:p w14:paraId="36814805">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（5）</w:t>
      </w:r>
      <w:r>
        <w:rPr>
          <w:rFonts w:hint="eastAsia" w:ascii="仿宋" w:hAnsi="仿宋" w:eastAsia="仿宋" w:cs="仿宋"/>
          <w:kern w:val="0"/>
          <w:sz w:val="28"/>
          <w:szCs w:val="28"/>
          <w:highlight w:val="none"/>
          <w:lang w:eastAsia="zh-Hans" w:bidi="ar"/>
        </w:rPr>
        <w:t>若乙方积极配合查处接受商业贿赂人员的，甲方可减少或免除相对应的违约金。</w:t>
      </w:r>
    </w:p>
    <w:p w14:paraId="1450CB27">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上述责任承担方式可单独适用，也可合并适用。</w:t>
      </w:r>
    </w:p>
    <w:p w14:paraId="7458262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五、协议的生效、变更或解除 </w:t>
      </w:r>
    </w:p>
    <w:p w14:paraId="1A2F2A5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1.本协议为主合同的补充内容，与主合同具有同样的法律效力。</w:t>
      </w:r>
    </w:p>
    <w:p w14:paraId="151020D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2.</w:t>
      </w:r>
      <w:r>
        <w:rPr>
          <w:rFonts w:hint="eastAsia" w:ascii="仿宋" w:hAnsi="仿宋" w:eastAsia="仿宋" w:cs="仿宋"/>
          <w:kern w:val="0"/>
          <w:sz w:val="28"/>
          <w:szCs w:val="28"/>
          <w:highlight w:val="none"/>
          <w:lang w:bidi="ar"/>
        </w:rPr>
        <w:t>本协议及</w:t>
      </w:r>
      <w:r>
        <w:rPr>
          <w:rFonts w:hint="eastAsia" w:ascii="仿宋" w:hAnsi="仿宋" w:eastAsia="仿宋" w:cs="仿宋"/>
          <w:kern w:val="0"/>
          <w:sz w:val="28"/>
          <w:szCs w:val="28"/>
          <w:highlight w:val="none"/>
          <w:lang w:eastAsia="zh-Hans" w:bidi="ar"/>
        </w:rPr>
        <w:t>主合同终止，本协议仍具有追溯相关责任的法律效力。</w:t>
      </w:r>
    </w:p>
    <w:p w14:paraId="2229D5B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3.本协议的生效日期：自甲乙双方签字盖章之日起生效。 </w:t>
      </w:r>
    </w:p>
    <w:p w14:paraId="2EDFBBAD">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六、争议解决条款</w:t>
      </w:r>
    </w:p>
    <w:p w14:paraId="68FA3E4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因履行本协议发生的任何纠纷，双方协商解决；如协商不成时，争议解决方式与主合同一致。</w:t>
      </w:r>
    </w:p>
    <w:p w14:paraId="2D6E6947">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七、其他</w:t>
      </w:r>
    </w:p>
    <w:p w14:paraId="3E7E561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1.甲乙双方确认在签订本协议前已仔细阅读上述条款内容，对本协议所产生的法律责任已清楚知悉并承诺遵守。</w:t>
      </w:r>
    </w:p>
    <w:p w14:paraId="6740181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2.本协议签订及甲乙双方各自持有份数均与主合同份数保持一致。</w:t>
      </w:r>
    </w:p>
    <w:p w14:paraId="544C9CE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（以下无正文）</w:t>
      </w:r>
    </w:p>
    <w:p w14:paraId="1847B29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甲方：（盖章）</w:t>
      </w:r>
    </w:p>
    <w:p w14:paraId="31FAE63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代表人签字：</w:t>
      </w:r>
    </w:p>
    <w:p w14:paraId="3519FC3E">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电话：</w:t>
      </w:r>
    </w:p>
    <w:p w14:paraId="49D94FD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签字日期：</w:t>
      </w:r>
    </w:p>
    <w:p w14:paraId="5B47413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乙方：（盖章）</w:t>
      </w:r>
    </w:p>
    <w:p w14:paraId="52DC27F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代表人签字：</w:t>
      </w:r>
    </w:p>
    <w:p w14:paraId="4CFE5D8D">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电话：</w:t>
      </w:r>
    </w:p>
    <w:p w14:paraId="011C50B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签字日期：</w:t>
      </w:r>
    </w:p>
    <w:p w14:paraId="6CC970FB">
      <w:pPr>
        <w:pStyle w:val="3"/>
        <w:keepNext w:val="0"/>
        <w:keepLines w:val="0"/>
        <w:pageBreakBefore w:val="0"/>
        <w:kinsoku/>
        <w:wordWrap/>
        <w:topLinePunct w:val="0"/>
        <w:bidi w:val="0"/>
        <w:spacing w:line="24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附件4</w:t>
      </w:r>
    </w:p>
    <w:p w14:paraId="49F4F7E8">
      <w:pPr>
        <w:keepNext w:val="0"/>
        <w:keepLines w:val="0"/>
        <w:pageBreakBefore w:val="0"/>
        <w:widowControl/>
        <w:kinsoku/>
        <w:wordWrap/>
        <w:topLinePunct w:val="0"/>
        <w:bidi w:val="0"/>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保密承诺书</w:t>
      </w:r>
    </w:p>
    <w:p w14:paraId="3D6CA0B8">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b/>
          <w:kern w:val="0"/>
          <w:sz w:val="28"/>
          <w:szCs w:val="28"/>
          <w:highlight w:val="none"/>
        </w:rPr>
      </w:pPr>
    </w:p>
    <w:p w14:paraId="2888A1C1">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甲方：内蒙古蒙牛乳业(集团)股份有限公司</w:t>
      </w:r>
    </w:p>
    <w:p w14:paraId="490B1EFD">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地址：内蒙古呼和浩特市和林格尔县盛乐经济园区蒙牛总部</w:t>
      </w:r>
    </w:p>
    <w:p w14:paraId="40EC5EAD">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p>
    <w:p w14:paraId="2EFC8B93">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1009EDC4">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638910F4">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p>
    <w:p w14:paraId="33A7230D">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 xml:space="preserve">                                项目</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0D15A8A">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71581959">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9A61C29">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722EC4DC">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00D92DCF">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24EBE725">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2E4B0B4B">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2158110A">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54C639DB">
      <w:pPr>
        <w:pStyle w:val="8"/>
        <w:keepNext w:val="0"/>
        <w:keepLines w:val="0"/>
        <w:pageBreakBefore w:val="0"/>
        <w:kinsoku/>
        <w:wordWrap/>
        <w:topLinePunct w:val="0"/>
        <w:bidi w:val="0"/>
        <w:spacing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highlight w:val="none"/>
        </w:rPr>
        <w:t xml:space="preserve">  </w:t>
      </w:r>
    </w:p>
    <w:p w14:paraId="64AB6DCE">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60109323">
      <w:pPr>
        <w:pStyle w:val="8"/>
        <w:keepNext w:val="0"/>
        <w:keepLines w:val="0"/>
        <w:pageBreakBefore w:val="0"/>
        <w:kinsoku/>
        <w:wordWrap/>
        <w:topLinePunct w:val="0"/>
        <w:bidi w:val="0"/>
        <w:spacing w:line="240" w:lineRule="auto"/>
        <w:ind w:left="239" w:leftChars="114" w:firstLine="420" w:firstLineChars="15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4B7C7534">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38CDACB4">
      <w:pPr>
        <w:keepNext w:val="0"/>
        <w:keepLines w:val="0"/>
        <w:pageBreakBefore w:val="0"/>
        <w:kinsoku/>
        <w:wordWrap/>
        <w:topLinePunct w:val="0"/>
        <w:bidi w:val="0"/>
        <w:spacing w:line="240" w:lineRule="auto"/>
        <w:ind w:firstLine="635" w:firstLineChars="227"/>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2878F99">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3DFA570F">
      <w:pPr>
        <w:pStyle w:val="4"/>
        <w:keepNext w:val="0"/>
        <w:keepLines w:val="0"/>
        <w:pageBreakBefore w:val="0"/>
        <w:kinsoku/>
        <w:wordWrap/>
        <w:topLinePunct w:val="0"/>
        <w:bidi w:val="0"/>
        <w:spacing w:line="24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1739D3">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54A6EAD2">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5683343">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183F0AC0">
      <w:pPr>
        <w:keepNext w:val="0"/>
        <w:keepLines w:val="0"/>
        <w:pageBreakBefore w:val="0"/>
        <w:kinsoku/>
        <w:wordWrap/>
        <w:topLinePunct w:val="0"/>
        <w:bidi w:val="0"/>
        <w:spacing w:line="240" w:lineRule="auto"/>
        <w:ind w:left="1"/>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color w:val="000000"/>
          <w:kern w:val="0"/>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7CAFFC44">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4A60E1AE">
      <w:pPr>
        <w:keepNext w:val="0"/>
        <w:keepLines w:val="0"/>
        <w:pageBreakBefore w:val="0"/>
        <w:kinsoku/>
        <w:wordWrap/>
        <w:topLinePunct w:val="0"/>
        <w:bidi w:val="0"/>
        <w:spacing w:line="240" w:lineRule="auto"/>
        <w:ind w:left="1" w:leftChars="-266" w:hanging="560" w:hanging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50421BC1">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D03AF95">
      <w:pPr>
        <w:pStyle w:val="4"/>
        <w:keepNext w:val="0"/>
        <w:keepLines w:val="0"/>
        <w:pageBreakBefore w:val="0"/>
        <w:kinsoku/>
        <w:wordWrap/>
        <w:topLinePunct w:val="0"/>
        <w:bidi w:val="0"/>
        <w:spacing w:line="240" w:lineRule="auto"/>
        <w:ind w:firstLine="840" w:firstLineChars="3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5</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年内持续有效，且不因承诺书目的之达成而终止。</w:t>
      </w:r>
    </w:p>
    <w:p w14:paraId="7264D46A">
      <w:pPr>
        <w:pStyle w:val="4"/>
        <w:keepNext w:val="0"/>
        <w:keepLines w:val="0"/>
        <w:pageBreakBefore w:val="0"/>
        <w:kinsoku/>
        <w:wordWrap/>
        <w:topLinePunct w:val="0"/>
        <w:bidi w:val="0"/>
        <w:spacing w:line="24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w:t>
      </w:r>
      <w:r>
        <w:rPr>
          <w:rFonts w:hint="eastAsia" w:ascii="仿宋" w:hAnsi="仿宋" w:eastAsia="仿宋" w:cs="仿宋"/>
          <w:color w:val="FF0000"/>
          <w:kern w:val="0"/>
          <w:sz w:val="28"/>
          <w:szCs w:val="28"/>
          <w:highlight w:val="none"/>
        </w:rPr>
        <w:t>说明：保密期限请业务按照实际需求进行约定，建议最低期限不得低于五年。</w:t>
      </w:r>
      <w:r>
        <w:rPr>
          <w:rFonts w:hint="eastAsia" w:ascii="仿宋" w:hAnsi="仿宋" w:eastAsia="仿宋" w:cs="仿宋"/>
          <w:color w:val="000000"/>
          <w:kern w:val="0"/>
          <w:sz w:val="28"/>
          <w:szCs w:val="28"/>
          <w:highlight w:val="none"/>
        </w:rPr>
        <w:t>）</w:t>
      </w:r>
    </w:p>
    <w:p w14:paraId="730C2A12">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sz w:val="28"/>
          <w:szCs w:val="28"/>
          <w:highlight w:val="none"/>
        </w:rPr>
      </w:pPr>
      <w:r>
        <w:rPr>
          <w:rFonts w:hint="eastAsia" w:ascii="仿宋" w:hAnsi="仿宋" w:eastAsia="仿宋" w:cs="仿宋"/>
          <w:b/>
          <w:color w:val="000000"/>
          <w:kern w:val="0"/>
          <w:sz w:val="28"/>
          <w:szCs w:val="28"/>
          <w:highlight w:val="none"/>
        </w:rPr>
        <w:t>十、</w:t>
      </w:r>
      <w:r>
        <w:rPr>
          <w:rFonts w:hint="eastAsia" w:ascii="仿宋" w:hAnsi="仿宋" w:eastAsia="仿宋" w:cs="仿宋"/>
          <w:b/>
          <w:color w:val="000000"/>
          <w:sz w:val="28"/>
          <w:szCs w:val="28"/>
          <w:highlight w:val="none"/>
        </w:rPr>
        <w:t>补充条款</w:t>
      </w:r>
    </w:p>
    <w:p w14:paraId="3AC745B9">
      <w:pPr>
        <w:pStyle w:val="3"/>
        <w:keepNext w:val="0"/>
        <w:keepLines w:val="0"/>
        <w:pageBreakBefore w:val="0"/>
        <w:kinsoku/>
        <w:wordWrap/>
        <w:topLinePunct w:val="0"/>
        <w:bidi w:val="0"/>
        <w:spacing w:after="0"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41474CC">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D66D539">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060C0F1F">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4F575BF">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50AA0AA5">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790E6A1B">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99CAD1D">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3BB84EBE">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74E49F2">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72E66BF">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A1F7B63">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44508546">
      <w:pPr>
        <w:pStyle w:val="3"/>
        <w:keepNext w:val="0"/>
        <w:keepLines w:val="0"/>
        <w:pageBreakBefore w:val="0"/>
        <w:kinsoku/>
        <w:wordWrap/>
        <w:topLinePunct w:val="0"/>
        <w:bidi w:val="0"/>
        <w:spacing w:after="0"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A6FC199">
      <w:pPr>
        <w:keepNext w:val="0"/>
        <w:keepLines w:val="0"/>
        <w:pageBreakBefore w:val="0"/>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A78C63F">
      <w:pPr>
        <w:keepNext w:val="0"/>
        <w:keepLines w:val="0"/>
        <w:pageBreakBefore w:val="0"/>
        <w:kinsoku/>
        <w:wordWrap/>
        <w:topLinePunct w:val="0"/>
        <w:bidi w:val="0"/>
        <w:spacing w:line="24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7C42AF69">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3765EBC">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十一、适用法律</w:t>
      </w:r>
    </w:p>
    <w:p w14:paraId="5E39F9A4">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种方式解决：</w:t>
      </w:r>
    </w:p>
    <w:p w14:paraId="66DA1367">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7E24FB10">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34BDCD9F">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FF0000"/>
          <w:kern w:val="0"/>
          <w:sz w:val="28"/>
          <w:szCs w:val="28"/>
          <w:highlight w:val="none"/>
        </w:rPr>
      </w:pPr>
      <w:r>
        <w:rPr>
          <w:rFonts w:hint="eastAsia" w:ascii="仿宋" w:hAnsi="仿宋" w:eastAsia="仿宋" w:cs="仿宋"/>
          <w:color w:val="FF0000"/>
          <w:kern w:val="0"/>
          <w:sz w:val="28"/>
          <w:szCs w:val="28"/>
          <w:highlight w:val="none"/>
        </w:rPr>
        <w:t>（说明：签署主体为内蒙古蒙牛乳业（集团）股份有限公司，地址为内蒙古呼市和林格尔县盛乐经济园区时，争议解决方式应选择第（二）种方式解决；其他主体签署时应选择第（一）种方式解决。）</w:t>
      </w:r>
    </w:p>
    <w:p w14:paraId="540D2FA3">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十二、违约责任及救济</w:t>
      </w:r>
    </w:p>
    <w:p w14:paraId="6BE179DE">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5624BD5">
      <w:pPr>
        <w:keepNext w:val="0"/>
        <w:keepLines w:val="0"/>
        <w:pageBreakBefore w:val="0"/>
        <w:kinsoku/>
        <w:wordWrap/>
        <w:topLinePunct w:val="0"/>
        <w:bidi w:val="0"/>
        <w:spacing w:line="240" w:lineRule="auto"/>
        <w:ind w:firstLine="562" w:firstLineChars="200"/>
        <w:jc w:val="left"/>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BBD5E21">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十三、生效及份数</w:t>
      </w:r>
    </w:p>
    <w:p w14:paraId="70D1D2D5">
      <w:pPr>
        <w:pStyle w:val="3"/>
        <w:keepNext w:val="0"/>
        <w:keepLines w:val="0"/>
        <w:pageBreakBefore w:val="0"/>
        <w:kinsoku/>
        <w:wordWrap/>
        <w:topLinePunct w:val="0"/>
        <w:bidi w:val="0"/>
        <w:spacing w:before="156" w:beforeLines="50" w:after="156" w:afterLines="50" w:line="240" w:lineRule="auto"/>
        <w:ind w:firstLine="560" w:firstLineChars="200"/>
        <w:jc w:val="left"/>
        <w:rPr>
          <w:rFonts w:hint="eastAsia" w:ascii="仿宋" w:hAnsi="仿宋" w:eastAsia="仿宋" w:cs="仿宋"/>
          <w:b/>
          <w:bCs/>
          <w:sz w:val="28"/>
          <w:szCs w:val="28"/>
          <w:highlight w:val="none"/>
        </w:rPr>
      </w:pPr>
      <w:r>
        <w:rPr>
          <w:rFonts w:hint="eastAsia" w:ascii="仿宋" w:hAnsi="仿宋" w:eastAsia="仿宋" w:cs="仿宋"/>
          <w:color w:val="000000"/>
          <w:kern w:val="0"/>
          <w:sz w:val="28"/>
          <w:szCs w:val="28"/>
          <w:highlight w:val="none"/>
        </w:rPr>
        <w:t>本承诺书经乙方签字盖章之日起生效。</w:t>
      </w:r>
    </w:p>
    <w:p w14:paraId="239B48C9">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750F4EB3">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16871A01">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04F64D4">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p>
    <w:p w14:paraId="22F9D4EF">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0678CCAD">
      <w:pPr>
        <w:keepNext w:val="0"/>
        <w:pageBreakBefore w:val="0"/>
        <w:kinsoku/>
        <w:topLinePunct w:val="0"/>
        <w:bidi w:val="0"/>
        <w:spacing w:line="240" w:lineRule="auto"/>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ECBFD"/>
    <w:multiLevelType w:val="singleLevel"/>
    <w:tmpl w:val="D89ECB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11A4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3CA2"/>
    <w:rsid w:val="00350D65"/>
    <w:rsid w:val="003706F4"/>
    <w:rsid w:val="00384088"/>
    <w:rsid w:val="00421917"/>
    <w:rsid w:val="00433476"/>
    <w:rsid w:val="00434050"/>
    <w:rsid w:val="00464664"/>
    <w:rsid w:val="00465796"/>
    <w:rsid w:val="004B1040"/>
    <w:rsid w:val="004C4D4B"/>
    <w:rsid w:val="004D3ABF"/>
    <w:rsid w:val="004E5479"/>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7FE1"/>
    <w:rsid w:val="00663CCD"/>
    <w:rsid w:val="006B201A"/>
    <w:rsid w:val="006B493B"/>
    <w:rsid w:val="006D256E"/>
    <w:rsid w:val="006E0EB4"/>
    <w:rsid w:val="00714150"/>
    <w:rsid w:val="0071652C"/>
    <w:rsid w:val="0077309A"/>
    <w:rsid w:val="00776C95"/>
    <w:rsid w:val="00795FD5"/>
    <w:rsid w:val="007F46E7"/>
    <w:rsid w:val="007F6E68"/>
    <w:rsid w:val="00825BA2"/>
    <w:rsid w:val="0083035A"/>
    <w:rsid w:val="00831FA3"/>
    <w:rsid w:val="008429BB"/>
    <w:rsid w:val="008A3D3D"/>
    <w:rsid w:val="008B6AB4"/>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2E52"/>
    <w:rsid w:val="00C731D6"/>
    <w:rsid w:val="00C74CAA"/>
    <w:rsid w:val="00C7598F"/>
    <w:rsid w:val="00CB03B6"/>
    <w:rsid w:val="00CC23B1"/>
    <w:rsid w:val="00CD128A"/>
    <w:rsid w:val="00CD2455"/>
    <w:rsid w:val="00CD64C8"/>
    <w:rsid w:val="00CE1B5A"/>
    <w:rsid w:val="00D04CC7"/>
    <w:rsid w:val="00D059C8"/>
    <w:rsid w:val="00D116D0"/>
    <w:rsid w:val="00D2490F"/>
    <w:rsid w:val="00D34260"/>
    <w:rsid w:val="00D3553D"/>
    <w:rsid w:val="00D61436"/>
    <w:rsid w:val="00D830DF"/>
    <w:rsid w:val="00D8544F"/>
    <w:rsid w:val="00DA3F71"/>
    <w:rsid w:val="00DB31B5"/>
    <w:rsid w:val="00DC76BC"/>
    <w:rsid w:val="00DD1435"/>
    <w:rsid w:val="00DE4BAC"/>
    <w:rsid w:val="00DF06F4"/>
    <w:rsid w:val="00E0201B"/>
    <w:rsid w:val="00E14B98"/>
    <w:rsid w:val="00E8505F"/>
    <w:rsid w:val="00ED18C7"/>
    <w:rsid w:val="00ED7CF2"/>
    <w:rsid w:val="00EF0E25"/>
    <w:rsid w:val="00F24A3E"/>
    <w:rsid w:val="00F428E1"/>
    <w:rsid w:val="00F74DD0"/>
    <w:rsid w:val="00F82EEC"/>
    <w:rsid w:val="00F95612"/>
    <w:rsid w:val="00F97183"/>
    <w:rsid w:val="00FE5BE5"/>
    <w:rsid w:val="01855C14"/>
    <w:rsid w:val="01F32C52"/>
    <w:rsid w:val="02226FAC"/>
    <w:rsid w:val="029167E5"/>
    <w:rsid w:val="041B0A5C"/>
    <w:rsid w:val="04633B6D"/>
    <w:rsid w:val="05373674"/>
    <w:rsid w:val="06DD044B"/>
    <w:rsid w:val="073C082D"/>
    <w:rsid w:val="07595190"/>
    <w:rsid w:val="07C5107C"/>
    <w:rsid w:val="082779D0"/>
    <w:rsid w:val="08735E14"/>
    <w:rsid w:val="08D22927"/>
    <w:rsid w:val="096E59C3"/>
    <w:rsid w:val="0A6E5F15"/>
    <w:rsid w:val="0AAA2A79"/>
    <w:rsid w:val="0B593768"/>
    <w:rsid w:val="0BC67500"/>
    <w:rsid w:val="0BFA3496"/>
    <w:rsid w:val="0CB64524"/>
    <w:rsid w:val="0CF84031"/>
    <w:rsid w:val="0D057DAC"/>
    <w:rsid w:val="0D786F20"/>
    <w:rsid w:val="0D901870"/>
    <w:rsid w:val="0E3776C4"/>
    <w:rsid w:val="0F346E76"/>
    <w:rsid w:val="0FCE72CB"/>
    <w:rsid w:val="10294501"/>
    <w:rsid w:val="10C36D8C"/>
    <w:rsid w:val="11AE12E2"/>
    <w:rsid w:val="12695089"/>
    <w:rsid w:val="12D1335A"/>
    <w:rsid w:val="1319260B"/>
    <w:rsid w:val="138008DC"/>
    <w:rsid w:val="138945B5"/>
    <w:rsid w:val="140735B1"/>
    <w:rsid w:val="1411115B"/>
    <w:rsid w:val="14C111AC"/>
    <w:rsid w:val="151976D5"/>
    <w:rsid w:val="156F29B6"/>
    <w:rsid w:val="15862336"/>
    <w:rsid w:val="15A24B3A"/>
    <w:rsid w:val="15AE7869"/>
    <w:rsid w:val="163C6D3C"/>
    <w:rsid w:val="16543399"/>
    <w:rsid w:val="16FA0730"/>
    <w:rsid w:val="171F0FC2"/>
    <w:rsid w:val="1754026C"/>
    <w:rsid w:val="178D5376"/>
    <w:rsid w:val="17F453F5"/>
    <w:rsid w:val="18A768A2"/>
    <w:rsid w:val="19EC0A79"/>
    <w:rsid w:val="1A061D1D"/>
    <w:rsid w:val="1A1253C6"/>
    <w:rsid w:val="1AF60A21"/>
    <w:rsid w:val="1AFA71C6"/>
    <w:rsid w:val="1B2702E8"/>
    <w:rsid w:val="1B4E4DE8"/>
    <w:rsid w:val="1C9D605B"/>
    <w:rsid w:val="1CC15162"/>
    <w:rsid w:val="1CEB34B2"/>
    <w:rsid w:val="1D092F35"/>
    <w:rsid w:val="1D4D23AA"/>
    <w:rsid w:val="1EE47387"/>
    <w:rsid w:val="1F31210C"/>
    <w:rsid w:val="1F8A4FBC"/>
    <w:rsid w:val="20244A22"/>
    <w:rsid w:val="2043571A"/>
    <w:rsid w:val="2080577E"/>
    <w:rsid w:val="20CE2C87"/>
    <w:rsid w:val="21C15436"/>
    <w:rsid w:val="22034BB2"/>
    <w:rsid w:val="223A6731"/>
    <w:rsid w:val="22F37464"/>
    <w:rsid w:val="23482EEF"/>
    <w:rsid w:val="23FC71CF"/>
    <w:rsid w:val="242157C3"/>
    <w:rsid w:val="26F64AC0"/>
    <w:rsid w:val="28680D3C"/>
    <w:rsid w:val="28C00E11"/>
    <w:rsid w:val="28D07BBF"/>
    <w:rsid w:val="28D7148D"/>
    <w:rsid w:val="29312005"/>
    <w:rsid w:val="296C0A07"/>
    <w:rsid w:val="2A3E5421"/>
    <w:rsid w:val="2A890A1C"/>
    <w:rsid w:val="2B253DEB"/>
    <w:rsid w:val="2B5A543E"/>
    <w:rsid w:val="2B8A4ADC"/>
    <w:rsid w:val="2B8B76FF"/>
    <w:rsid w:val="2BBD0CF4"/>
    <w:rsid w:val="2BC233DF"/>
    <w:rsid w:val="2CF273D5"/>
    <w:rsid w:val="2CF47E63"/>
    <w:rsid w:val="2D187B9E"/>
    <w:rsid w:val="2F202435"/>
    <w:rsid w:val="2F37575C"/>
    <w:rsid w:val="2F483F47"/>
    <w:rsid w:val="2FE3033A"/>
    <w:rsid w:val="30027516"/>
    <w:rsid w:val="307A6987"/>
    <w:rsid w:val="30FB781C"/>
    <w:rsid w:val="319168E0"/>
    <w:rsid w:val="31961E90"/>
    <w:rsid w:val="31FF220F"/>
    <w:rsid w:val="34017AF8"/>
    <w:rsid w:val="345A01D1"/>
    <w:rsid w:val="34880F47"/>
    <w:rsid w:val="348D1FF9"/>
    <w:rsid w:val="34C226AB"/>
    <w:rsid w:val="34C81BFC"/>
    <w:rsid w:val="35580F6E"/>
    <w:rsid w:val="35592838"/>
    <w:rsid w:val="35725E7F"/>
    <w:rsid w:val="357368B4"/>
    <w:rsid w:val="35B33B24"/>
    <w:rsid w:val="35C277EB"/>
    <w:rsid w:val="37250DEE"/>
    <w:rsid w:val="3A310ECD"/>
    <w:rsid w:val="3A52717C"/>
    <w:rsid w:val="3AD11317"/>
    <w:rsid w:val="3ADF3994"/>
    <w:rsid w:val="3B96663F"/>
    <w:rsid w:val="3BC24EB4"/>
    <w:rsid w:val="3D3E5B6F"/>
    <w:rsid w:val="3D9B7F3D"/>
    <w:rsid w:val="3DB46C76"/>
    <w:rsid w:val="3DEB04D9"/>
    <w:rsid w:val="3EEC1F3C"/>
    <w:rsid w:val="3F26970F"/>
    <w:rsid w:val="3F6D17D7"/>
    <w:rsid w:val="3F926B94"/>
    <w:rsid w:val="3FF53494"/>
    <w:rsid w:val="40955117"/>
    <w:rsid w:val="41BF1DBB"/>
    <w:rsid w:val="43592588"/>
    <w:rsid w:val="437555CC"/>
    <w:rsid w:val="4383047F"/>
    <w:rsid w:val="43AF49F0"/>
    <w:rsid w:val="45CF69D6"/>
    <w:rsid w:val="464C0730"/>
    <w:rsid w:val="46A3216C"/>
    <w:rsid w:val="473D1BCC"/>
    <w:rsid w:val="478E57A6"/>
    <w:rsid w:val="48FA4CB3"/>
    <w:rsid w:val="4AA25A23"/>
    <w:rsid w:val="4BD016F9"/>
    <w:rsid w:val="4C0977F7"/>
    <w:rsid w:val="4C271F2F"/>
    <w:rsid w:val="4E0B5694"/>
    <w:rsid w:val="4F0A72AC"/>
    <w:rsid w:val="4FA113E3"/>
    <w:rsid w:val="4FF407D2"/>
    <w:rsid w:val="50207862"/>
    <w:rsid w:val="50DC0C94"/>
    <w:rsid w:val="51DA0EB5"/>
    <w:rsid w:val="52A3083E"/>
    <w:rsid w:val="533942AF"/>
    <w:rsid w:val="53E251EA"/>
    <w:rsid w:val="549D03EF"/>
    <w:rsid w:val="54CA13DC"/>
    <w:rsid w:val="552F77ED"/>
    <w:rsid w:val="555F0C47"/>
    <w:rsid w:val="56124994"/>
    <w:rsid w:val="56862B3F"/>
    <w:rsid w:val="59A919C7"/>
    <w:rsid w:val="5B3661EC"/>
    <w:rsid w:val="5B4B2B4A"/>
    <w:rsid w:val="5BD96D67"/>
    <w:rsid w:val="5BF779BC"/>
    <w:rsid w:val="5C8D0E77"/>
    <w:rsid w:val="5D8E3636"/>
    <w:rsid w:val="5FAD37A1"/>
    <w:rsid w:val="627D7FD3"/>
    <w:rsid w:val="637E5B50"/>
    <w:rsid w:val="654D74AB"/>
    <w:rsid w:val="67955879"/>
    <w:rsid w:val="679677A0"/>
    <w:rsid w:val="692714F1"/>
    <w:rsid w:val="69641204"/>
    <w:rsid w:val="6A05798A"/>
    <w:rsid w:val="6ACB0453"/>
    <w:rsid w:val="6B0A39EF"/>
    <w:rsid w:val="6BEF0C80"/>
    <w:rsid w:val="6C1732BE"/>
    <w:rsid w:val="6C4C52F4"/>
    <w:rsid w:val="6DAF2E29"/>
    <w:rsid w:val="6DF63297"/>
    <w:rsid w:val="6FCB1590"/>
    <w:rsid w:val="70903082"/>
    <w:rsid w:val="709B04B2"/>
    <w:rsid w:val="70F437C7"/>
    <w:rsid w:val="712F3C12"/>
    <w:rsid w:val="716D6F1F"/>
    <w:rsid w:val="728A4A70"/>
    <w:rsid w:val="72B83105"/>
    <w:rsid w:val="73AE5E19"/>
    <w:rsid w:val="73F717F0"/>
    <w:rsid w:val="73F9347A"/>
    <w:rsid w:val="74562C47"/>
    <w:rsid w:val="74C76C1C"/>
    <w:rsid w:val="75234397"/>
    <w:rsid w:val="77011A99"/>
    <w:rsid w:val="775F555C"/>
    <w:rsid w:val="77744684"/>
    <w:rsid w:val="78051B9A"/>
    <w:rsid w:val="780D320A"/>
    <w:rsid w:val="788D7EA7"/>
    <w:rsid w:val="79AE1432"/>
    <w:rsid w:val="7A6A3406"/>
    <w:rsid w:val="7A813FB4"/>
    <w:rsid w:val="7A954A6F"/>
    <w:rsid w:val="7B442D1C"/>
    <w:rsid w:val="7B6B0973"/>
    <w:rsid w:val="7DBA7CAB"/>
    <w:rsid w:val="7F8B173C"/>
    <w:rsid w:val="7FC77A72"/>
    <w:rsid w:val="9AAFCB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unhideWhenUsed/>
    <w:qFormat/>
    <w:uiPriority w:val="99"/>
    <w:pPr>
      <w:spacing w:after="120" w:line="360" w:lineRule="auto"/>
      <w:ind w:firstLine="200" w:firstLineChars="200"/>
    </w:pPr>
    <w:rPr>
      <w:rFonts w:eastAsia="微软雅黑"/>
      <w:szCs w:val="22"/>
    </w:r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character" w:styleId="13">
    <w:name w:val="Strong"/>
    <w:basedOn w:val="12"/>
    <w:qFormat/>
    <w:uiPriority w:val="22"/>
    <w:rPr>
      <w:b/>
    </w:rPr>
  </w:style>
  <w:style w:type="character" w:styleId="14">
    <w:name w:val="page number"/>
    <w:qFormat/>
    <w:uiPriority w:val="0"/>
  </w:style>
  <w:style w:type="character" w:styleId="15">
    <w:name w:val="Hyperlink"/>
    <w:qFormat/>
    <w:uiPriority w:val="0"/>
    <w:rPr>
      <w:color w:val="0000FF"/>
      <w:u w:val="none"/>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批注框文本 字符"/>
    <w:basedOn w:val="12"/>
    <w:link w:val="5"/>
    <w:semiHidden/>
    <w:qFormat/>
    <w:uiPriority w:val="99"/>
    <w:rPr>
      <w:rFonts w:ascii="Times New Roman" w:hAnsi="Times New Roman" w:eastAsia="宋体" w:cs="Times New Roman"/>
      <w:kern w:val="2"/>
      <w:sz w:val="18"/>
      <w:szCs w:val="18"/>
    </w:rPr>
  </w:style>
  <w:style w:type="paragraph" w:styleId="19">
    <w:name w:val="List Paragraph"/>
    <w:basedOn w:val="1"/>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16"/>
      <w:szCs w:val="16"/>
      <w:u w:val="none"/>
    </w:rPr>
  </w:style>
  <w:style w:type="character" w:customStyle="1" w:styleId="21">
    <w:name w:val="font41"/>
    <w:basedOn w:val="12"/>
    <w:qFormat/>
    <w:uiPriority w:val="0"/>
    <w:rPr>
      <w:rFonts w:hint="eastAsia" w:ascii="宋体" w:hAnsi="宋体" w:eastAsia="宋体" w:cs="宋体"/>
      <w:b/>
      <w:bCs/>
      <w:color w:val="000000"/>
      <w:sz w:val="18"/>
      <w:szCs w:val="18"/>
      <w:u w:val="none"/>
    </w:rPr>
  </w:style>
  <w:style w:type="character" w:customStyle="1" w:styleId="22">
    <w:name w:val="font71"/>
    <w:basedOn w:val="12"/>
    <w:qFormat/>
    <w:uiPriority w:val="0"/>
    <w:rPr>
      <w:rFonts w:hint="eastAsia" w:ascii="宋体" w:hAnsi="宋体" w:eastAsia="宋体" w:cs="宋体"/>
      <w:b/>
      <w:bCs/>
      <w:color w:val="FF0000"/>
      <w:sz w:val="18"/>
      <w:szCs w:val="18"/>
      <w:u w:val="none"/>
    </w:rPr>
  </w:style>
  <w:style w:type="character" w:customStyle="1" w:styleId="23">
    <w:name w:val="font8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000000"/>
      <w:sz w:val="20"/>
      <w:szCs w:val="20"/>
      <w:u w:val="none"/>
    </w:rPr>
  </w:style>
  <w:style w:type="character" w:customStyle="1" w:styleId="25">
    <w:name w:val="font101"/>
    <w:basedOn w:val="12"/>
    <w:qFormat/>
    <w:uiPriority w:val="0"/>
    <w:rPr>
      <w:rFonts w:hint="eastAsia" w:ascii="宋体" w:hAnsi="宋体" w:eastAsia="宋体" w:cs="宋体"/>
      <w:color w:val="FE0300"/>
      <w:sz w:val="18"/>
      <w:szCs w:val="18"/>
      <w:u w:val="none"/>
    </w:rPr>
  </w:style>
  <w:style w:type="character" w:customStyle="1" w:styleId="26">
    <w:name w:val="font31"/>
    <w:basedOn w:val="12"/>
    <w:qFormat/>
    <w:uiPriority w:val="0"/>
    <w:rPr>
      <w:rFonts w:hint="eastAsia" w:ascii="宋体" w:hAnsi="宋体" w:eastAsia="宋体" w:cs="宋体"/>
      <w:color w:val="000000"/>
      <w:sz w:val="18"/>
      <w:szCs w:val="18"/>
      <w:u w:val="none"/>
    </w:rPr>
  </w:style>
  <w:style w:type="character" w:customStyle="1" w:styleId="27">
    <w:name w:val="font51"/>
    <w:basedOn w:val="12"/>
    <w:uiPriority w:val="0"/>
    <w:rPr>
      <w:rFonts w:hint="eastAsia" w:ascii="宋体" w:hAnsi="宋体" w:eastAsia="宋体" w:cs="宋体"/>
      <w:color w:val="FEFF00"/>
      <w:sz w:val="18"/>
      <w:szCs w:val="18"/>
      <w:u w:val="none"/>
    </w:rPr>
  </w:style>
  <w:style w:type="character" w:customStyle="1" w:styleId="28">
    <w:name w:val="font6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4986</Words>
  <Characters>5542</Characters>
  <Lines>22</Lines>
  <Paragraphs>6</Paragraphs>
  <TotalTime>6</TotalTime>
  <ScaleCrop>false</ScaleCrop>
  <LinksUpToDate>false</LinksUpToDate>
  <CharactersWithSpaces>5569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贺俊英</cp:lastModifiedBy>
  <dcterms:modified xsi:type="dcterms:W3CDTF">2025-11-07T08:10:59Z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eyJoZGlkIjoiYTkwMzljZWFjZGY2NzY2MGViM2VlNTk3MTQ3Y2E3YzciLCJ1c2VySWQiOiIxNjgxNjA1MjQ2In0=</vt:lpwstr>
  </property>
  <property fmtid="{D5CDD505-2E9C-101B-9397-08002B2CF9AE}" pid="4" name="ICV">
    <vt:lpwstr>D7F29C2383A541B2A7EB0BC6FB676F5B_12</vt:lpwstr>
  </property>
</Properties>
</file>