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蒙牛乳业常温巴盟工厂更换在线检测设备项目</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蒙牛乳业常温巴盟工厂更换在线检测设备项目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一、项目编号：MNCGJH-20260328-0008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蒙牛乳业常温巴盟工厂更换在线检测设备项目</w:t>
      </w:r>
    </w:p>
    <w:p w14:paraId="69F8A0B4">
      <w:pPr>
        <w:pStyle w:val="17"/>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巴盟污水处理厂现需更换在</w:t>
      </w:r>
      <w:r>
        <w:rPr>
          <w:rFonts w:hint="default" w:ascii="仿宋" w:hAnsi="仿宋" w:eastAsia="仿宋" w:cs="仿宋"/>
          <w:sz w:val="28"/>
          <w:szCs w:val="36"/>
          <w:highlight w:val="none"/>
          <w:lang w:eastAsia="zh-CN"/>
          <w:woUserID w:val="1"/>
        </w:rPr>
        <w:t>线监测设备</w:t>
      </w:r>
      <w:r>
        <w:rPr>
          <w:rFonts w:hint="eastAsia" w:ascii="仿宋" w:hAnsi="仿宋" w:eastAsia="仿宋" w:cs="仿宋"/>
          <w:sz w:val="28"/>
          <w:szCs w:val="36"/>
          <w:highlight w:val="none"/>
          <w:lang w:eastAsia="zh-CN"/>
          <w:woUserID w:val="1"/>
        </w:rPr>
        <w:t>：</w:t>
      </w:r>
      <w:r>
        <w:rPr>
          <w:rFonts w:hint="eastAsia" w:ascii="仿宋" w:hAnsi="仿宋" w:eastAsia="仿宋" w:cs="仿宋"/>
          <w:sz w:val="28"/>
          <w:szCs w:val="36"/>
          <w:highlight w:val="none"/>
          <w:lang w:val="en-US" w:eastAsia="zh-CN"/>
        </w:rPr>
        <w:t>化学需氧量（COD）在线检测、总磷在线检测、总氮在线检测、氨氮在线检测、PH计在线检测、在线水质采样器、在线数据采集仪等相关设备</w:t>
      </w:r>
      <w:r>
        <w:rPr>
          <w:rFonts w:hint="eastAsia" w:ascii="仿宋" w:hAnsi="仿宋" w:eastAsia="仿宋" w:cs="仿宋"/>
          <w:sz w:val="28"/>
          <w:szCs w:val="28"/>
          <w:highlight w:val="none"/>
          <w:lang w:val="en-US" w:eastAsia="zh-CN"/>
        </w:rPr>
        <w:t>，符合最新下发环保检测要求规定（《水污染源在线监测系统运行技术规范》《污染源自动检测监控系统数据传输要求》HJ21-2025的规定 ），通过更换在线监测设备实现自动校准和校验功能，不出现环保风险，确保工厂环保数据上传100%达标。</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r>
        <w:rPr>
          <w:rFonts w:hint="eastAsia" w:ascii="仿宋" w:hAnsi="仿宋" w:eastAsia="仿宋" w:cs="仿宋"/>
          <w:sz w:val="28"/>
          <w:szCs w:val="28"/>
          <w:highlight w:val="green"/>
          <w:lang w:val="en-US" w:eastAsia="zh-CN"/>
        </w:rPr>
        <w:t>经营范围须包含环保设备、环境监测仪器设备销售/安装、环境监测仪器维修任一相关经营内容；</w:t>
      </w:r>
    </w:p>
    <w:p w14:paraId="1EFF24EF">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2、投标人必须为具有</w:t>
      </w:r>
      <w:r>
        <w:rPr>
          <w:rFonts w:hint="eastAsia" w:ascii="仿宋" w:hAnsi="仿宋" w:eastAsia="仿宋" w:cs="仿宋"/>
          <w:color w:val="000000" w:themeColor="text1"/>
          <w:sz w:val="28"/>
          <w:szCs w:val="28"/>
          <w:highlight w:val="yellow"/>
          <w:lang w:val="en-US" w:eastAsia="zh-CN"/>
          <w14:textFill>
            <w14:solidFill>
              <w14:schemeClr w14:val="tx1"/>
            </w14:solidFill>
          </w14:textFill>
        </w:rPr>
        <w:t>在线监测设备</w:t>
      </w:r>
      <w:r>
        <w:rPr>
          <w:rFonts w:hint="eastAsia" w:ascii="仿宋" w:hAnsi="仿宋" w:eastAsia="仿宋" w:cs="仿宋"/>
          <w:color w:val="000000"/>
          <w:sz w:val="28"/>
          <w:szCs w:val="28"/>
          <w:highlight w:val="none"/>
          <w:lang w:val="en-US" w:eastAsia="zh-CN"/>
        </w:rPr>
        <w:t>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055EBCE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themeColor="text1"/>
          <w:sz w:val="28"/>
          <w:szCs w:val="28"/>
          <w:highlight w:val="yellow"/>
          <w:lang w:val="en-US" w:eastAsia="zh-CN"/>
          <w14:textFill>
            <w14:solidFill>
              <w14:schemeClr w14:val="tx1"/>
            </w14:solidFill>
          </w14:textFill>
        </w:rPr>
        <w:t>在线监测设备</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w:t>
      </w:r>
      <w:r>
        <w:rPr>
          <w:rFonts w:hint="eastAsia" w:ascii="仿宋" w:hAnsi="仿宋" w:eastAsia="仿宋" w:cs="仿宋"/>
          <w:color w:val="000000"/>
          <w:sz w:val="28"/>
          <w:szCs w:val="28"/>
          <w:highlight w:val="none"/>
          <w:lang w:val="en-US" w:eastAsia="zh-CN"/>
        </w:rPr>
        <w:t>若是授权代理商，必须取得所投货物生产制造商出具的书面授权书及具有销售和安装能力的承诺书</w:t>
      </w:r>
      <w:r>
        <w:rPr>
          <w:rFonts w:hint="eastAsia" w:ascii="仿宋" w:hAnsi="仿宋" w:eastAsia="仿宋" w:cs="仿宋"/>
          <w:color w:val="000000"/>
          <w:sz w:val="28"/>
          <w:szCs w:val="28"/>
          <w:highlight w:val="none"/>
        </w:rPr>
        <w:t>；采购单位只接受生产厂家一份项目授权书；若制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w:t>
      </w:r>
      <w:bookmarkStart w:id="3" w:name="_GoBack"/>
      <w:bookmarkEnd w:id="3"/>
      <w:r>
        <w:rPr>
          <w:rFonts w:hint="eastAsia" w:ascii="仿宋" w:hAnsi="仿宋" w:eastAsia="仿宋" w:cs="仿宋"/>
          <w:sz w:val="28"/>
          <w:szCs w:val="28"/>
          <w:highlight w:val="none"/>
          <w:lang w:val="en-US" w:eastAsia="zh-CN"/>
        </w:rPr>
        <w:t>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yellow"/>
          <w:lang w:val="en-US" w:eastAsia="zh-CN"/>
        </w:rPr>
        <w:t>13%的</w:t>
      </w:r>
      <w:r>
        <w:rPr>
          <w:rFonts w:hint="eastAsia" w:ascii="仿宋" w:hAnsi="仿宋" w:eastAsia="仿宋" w:cs="仿宋"/>
          <w:sz w:val="28"/>
          <w:szCs w:val="28"/>
          <w:highlight w:val="yellow"/>
        </w:rPr>
        <w:t>增</w:t>
      </w:r>
      <w:r>
        <w:rPr>
          <w:rFonts w:hint="eastAsia" w:ascii="仿宋" w:hAnsi="仿宋" w:eastAsia="仿宋" w:cs="仿宋"/>
          <w:sz w:val="28"/>
          <w:szCs w:val="28"/>
          <w:highlight w:val="none"/>
        </w:rPr>
        <w:t>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（13）提供诚信合作廉洁承诺书（附件7）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本项目采用全流程电子化招标采购方式，以上各类证书、证明材料应为原件的扫描件或复印件，均需</w:t>
      </w:r>
      <w:r>
        <w:rPr>
          <w:rFonts w:hint="eastAsia" w:ascii="仿宋" w:hAnsi="仿宋" w:eastAsia="仿宋" w:cs="仿宋"/>
          <w:b/>
          <w:bCs/>
          <w:color w:val="FF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1、报名时间：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7</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59</w:t>
      </w:r>
      <w:r>
        <w:rPr>
          <w:rFonts w:hint="eastAsia" w:ascii="仿宋" w:hAnsi="仿宋" w:eastAsia="仿宋" w:cs="仿宋"/>
          <w:sz w:val="28"/>
          <w:szCs w:val="28"/>
          <w:highlight w:val="yellow"/>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2、资格预审时间：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8</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yellow"/>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9</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11</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yellow"/>
        </w:rPr>
        <w:t>人民币</w:t>
      </w:r>
      <w:r>
        <w:rPr>
          <w:rFonts w:hint="eastAsia" w:ascii="仿宋" w:hAnsi="仿宋" w:eastAsia="仿宋" w:cs="仿宋"/>
          <w:sz w:val="28"/>
          <w:szCs w:val="28"/>
          <w:highlight w:val="yellow"/>
          <w:u w:val="single"/>
          <w:lang w:val="en-US" w:eastAsia="zh-CN"/>
        </w:rPr>
        <w:t>2</w:t>
      </w:r>
      <w:r>
        <w:rPr>
          <w:rFonts w:hint="eastAsia" w:ascii="仿宋" w:hAnsi="仿宋" w:eastAsia="仿宋" w:cs="仿宋"/>
          <w:sz w:val="28"/>
          <w:szCs w:val="28"/>
          <w:highlight w:val="yellow"/>
          <w:u w:val="single"/>
        </w:rPr>
        <w:t>00</w:t>
      </w:r>
      <w:r>
        <w:rPr>
          <w:rFonts w:hint="eastAsia" w:ascii="仿宋" w:hAnsi="仿宋" w:eastAsia="仿宋" w:cs="仿宋"/>
          <w:sz w:val="28"/>
          <w:szCs w:val="28"/>
          <w:highlight w:val="yellow"/>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89D73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5ED6BF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55CC8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w:t>
            </w:r>
          </w:p>
        </w:tc>
      </w:tr>
    </w:tbl>
    <w:p w14:paraId="3C883CF8">
      <w:pPr>
        <w:spacing w:line="240" w:lineRule="auto"/>
        <w:jc w:val="both"/>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6"/>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4FEC5DD6">
      <w:pPr>
        <w:pStyle w:val="22"/>
        <w:jc w:val="center"/>
        <w:rPr>
          <w:rFonts w:hint="eastAsia" w:ascii="仿宋" w:hAnsi="仿宋" w:eastAsia="仿宋" w:cs="仿宋"/>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004097"/>
    <w:rsid w:val="030742E1"/>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2E60488"/>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E1772E"/>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C020344"/>
    <w:rsid w:val="2C994A91"/>
    <w:rsid w:val="2CC73EBB"/>
    <w:rsid w:val="2CC82C80"/>
    <w:rsid w:val="2CE65BE8"/>
    <w:rsid w:val="2D0D151B"/>
    <w:rsid w:val="2D2113F9"/>
    <w:rsid w:val="2D2E54AB"/>
    <w:rsid w:val="2D31615F"/>
    <w:rsid w:val="2D5533FD"/>
    <w:rsid w:val="2D88240F"/>
    <w:rsid w:val="2D9D1FA4"/>
    <w:rsid w:val="2DFC3F11"/>
    <w:rsid w:val="2E5171F3"/>
    <w:rsid w:val="2E6B532D"/>
    <w:rsid w:val="2ED300D8"/>
    <w:rsid w:val="2ED565A3"/>
    <w:rsid w:val="2ED73550"/>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751D13"/>
    <w:rsid w:val="4ACB3DE1"/>
    <w:rsid w:val="4BAC561A"/>
    <w:rsid w:val="4C0439C1"/>
    <w:rsid w:val="4CE2798C"/>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0F7FC7"/>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5EA2548"/>
    <w:rsid w:val="66106E6A"/>
    <w:rsid w:val="6646550E"/>
    <w:rsid w:val="66B249E4"/>
    <w:rsid w:val="66C43787"/>
    <w:rsid w:val="67ED4707"/>
    <w:rsid w:val="684A0189"/>
    <w:rsid w:val="695569BF"/>
    <w:rsid w:val="696C7ACD"/>
    <w:rsid w:val="69D81B09"/>
    <w:rsid w:val="69F866F7"/>
    <w:rsid w:val="69FB553B"/>
    <w:rsid w:val="6A05798A"/>
    <w:rsid w:val="6A2551A9"/>
    <w:rsid w:val="6A3274DB"/>
    <w:rsid w:val="6A37428B"/>
    <w:rsid w:val="6A467039"/>
    <w:rsid w:val="6A495DD7"/>
    <w:rsid w:val="6AC95853"/>
    <w:rsid w:val="6AE22017"/>
    <w:rsid w:val="6B5925FD"/>
    <w:rsid w:val="6BA76591"/>
    <w:rsid w:val="6BD72F6C"/>
    <w:rsid w:val="6C2B5163"/>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BB304B"/>
    <w:rsid w:val="7CFF1CEC"/>
    <w:rsid w:val="7D0568EF"/>
    <w:rsid w:val="7D0A4AE8"/>
    <w:rsid w:val="7D173ACC"/>
    <w:rsid w:val="7D1B55A6"/>
    <w:rsid w:val="7D966739"/>
    <w:rsid w:val="7DA270F0"/>
    <w:rsid w:val="7DA33C01"/>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qFormat/>
    <w:uiPriority w:val="0"/>
    <w:rPr>
      <w:color w:val="0000FF"/>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1">
    <w:name w:val="列出段落1"/>
    <w:basedOn w:val="1"/>
    <w:qFormat/>
    <w:uiPriority w:val="99"/>
    <w:pPr>
      <w:ind w:firstLine="420" w:firstLineChars="200"/>
    </w:p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11486</Words>
  <Characters>12214</Characters>
  <Lines>83</Lines>
  <Paragraphs>23</Paragraphs>
  <TotalTime>0</TotalTime>
  <ScaleCrop>false</ScaleCrop>
  <LinksUpToDate>false</LinksUpToDate>
  <CharactersWithSpaces>13263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2026-03-30T08:27:01Z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