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6643">
      <w:pPr>
        <w:shd w:val="clear" w:color="auto" w:fill="FFFFFF"/>
        <w:wordWrap w:val="0"/>
        <w:snapToGrid w:val="0"/>
        <w:spacing w:line="360" w:lineRule="auto"/>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eastAsia="zh-CN"/>
        </w:rPr>
        <w:t>蒙牛乳业冰品沈阳工厂电商直发项目-分拣墙采购项目</w:t>
      </w:r>
    </w:p>
    <w:p w14:paraId="7D92CB04">
      <w:pPr>
        <w:shd w:val="clear" w:color="auto" w:fill="FFFFFF"/>
        <w:wordWrap w:val="0"/>
        <w:snapToGrid w:val="0"/>
        <w:spacing w:line="360" w:lineRule="auto"/>
        <w:jc w:val="center"/>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kern w:val="0"/>
          <w:sz w:val="28"/>
          <w:szCs w:val="28"/>
          <w:highlight w:val="none"/>
        </w:rPr>
        <w:t>询比价信息公告</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三次</w:t>
      </w:r>
      <w:r>
        <w:rPr>
          <w:rFonts w:hint="eastAsia" w:ascii="仿宋" w:hAnsi="仿宋" w:eastAsia="仿宋" w:cs="仿宋"/>
          <w:b/>
          <w:bCs/>
          <w:kern w:val="0"/>
          <w:sz w:val="28"/>
          <w:szCs w:val="28"/>
          <w:highlight w:val="none"/>
          <w:lang w:eastAsia="zh-CN"/>
        </w:rPr>
        <w:t>）</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lang w:eastAsia="zh-CN"/>
        </w:rPr>
        <w:t>蒙牛乳业冰品沈阳工厂电商直发项目-分拣墙采购项目</w:t>
      </w:r>
      <w:r>
        <w:rPr>
          <w:rFonts w:hint="eastAsia" w:ascii="仿宋_GB2312" w:hAnsi="宋体" w:eastAsia="仿宋_GB2312"/>
          <w:sz w:val="24"/>
          <w:highlight w:val="none"/>
        </w:rPr>
        <w:t>进行询比价,欢迎符合资格条件的供应商参加。</w:t>
      </w:r>
    </w:p>
    <w:p w14:paraId="1444DDD0">
      <w:pPr>
        <w:numPr>
          <w:ilvl w:val="0"/>
          <w:numId w:val="1"/>
        </w:num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项目编号：MNCGJH-20260302-0008</w:t>
      </w:r>
    </w:p>
    <w:p w14:paraId="5A2528A2">
      <w:pPr>
        <w:numPr>
          <w:ilvl w:val="0"/>
          <w:numId w:val="1"/>
        </w:num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项目名称：</w:t>
      </w:r>
      <w:r>
        <w:rPr>
          <w:rFonts w:hint="eastAsia" w:ascii="仿宋_GB2312" w:hAnsi="宋体" w:eastAsia="仿宋_GB2312"/>
          <w:b/>
          <w:bCs/>
          <w:sz w:val="24"/>
          <w:highlight w:val="none"/>
          <w:lang w:eastAsia="zh-CN"/>
        </w:rPr>
        <w:t>蒙牛乳业冰品沈阳工厂电商直发项目-分拣墙采购项目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54C553AE">
      <w:pPr>
        <w:numPr>
          <w:ilvl w:val="0"/>
          <w:numId w:val="0"/>
        </w:numPr>
        <w:wordWrap w:val="0"/>
        <w:spacing w:line="360" w:lineRule="auto"/>
        <w:ind w:leftChars="200"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基于事业部整体规划及电商高速发展趋势需求，总部结合工厂地域优势，暂定在沈阳工厂作为电商一件代发业务试点单位，计划在低温现有库房停用后进行隔离大约200平区域作为分拣区域，并需配置一台分拣墙，以实现订单货物的高效分拣与精准分类管理。</w:t>
      </w:r>
    </w:p>
    <w:p w14:paraId="485C629D">
      <w:pPr>
        <w:numPr>
          <w:ilvl w:val="0"/>
          <w:numId w:val="0"/>
        </w:numPr>
        <w:wordWrap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3AF8E5B">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投标人必须是在中华人民共和国境内注册的具有独立法人资格的企业单位。</w:t>
      </w:r>
    </w:p>
    <w:p w14:paraId="00B5C21F">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58408BB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投标人必须具有一般纳税人资格。</w:t>
      </w:r>
    </w:p>
    <w:p w14:paraId="41BE8567">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投标人须具有近1年（202</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年</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lang w:eastAsia="zh-CN"/>
        </w:rPr>
        <w:t>日至今）任意3个月的依法纳税证明材料和社保缴纳证明材料。</w:t>
      </w:r>
    </w:p>
    <w:p w14:paraId="411CC790">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投标人须具有近三年（202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个及以上类似项目业绩（以合同为准）。</w:t>
      </w:r>
    </w:p>
    <w:p w14:paraId="26690D09">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6、提供本企业2024年度财务报表或第三方财务审计报告（包含资产负债表、利润表、现金流量表）</w:t>
      </w:r>
      <w:r>
        <w:rPr>
          <w:rFonts w:hint="eastAsia" w:ascii="仿宋" w:hAnsi="仿宋" w:eastAsia="仿宋" w:cs="仿宋"/>
          <w:color w:val="000000"/>
          <w:sz w:val="24"/>
          <w:highlight w:val="none"/>
          <w:lang w:eastAsia="zh-CN"/>
        </w:rPr>
        <w:t>。</w:t>
      </w:r>
    </w:p>
    <w:p w14:paraId="6A27C8F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投标人未被列入国家企业信用信息公示系统（http://www.gsxt.gov.cn/index.html）严重违法失信企业名单。</w:t>
      </w:r>
    </w:p>
    <w:p w14:paraId="1CC4414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12C3B1A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lang w:eastAsia="zh-CN"/>
        </w:rPr>
        <w:t>本次</w:t>
      </w:r>
      <w:r>
        <w:rPr>
          <w:rFonts w:hint="eastAsia" w:ascii="仿宋" w:hAnsi="仿宋" w:eastAsia="仿宋" w:cs="仿宋"/>
          <w:color w:val="000000"/>
          <w:sz w:val="24"/>
          <w:highlight w:val="none"/>
          <w:lang w:val="en-US" w:eastAsia="zh-CN"/>
        </w:rPr>
        <w:t>询价</w:t>
      </w:r>
      <w:r>
        <w:rPr>
          <w:rFonts w:hint="eastAsia" w:ascii="仿宋" w:hAnsi="仿宋" w:eastAsia="仿宋" w:cs="仿宋"/>
          <w:color w:val="000000"/>
          <w:sz w:val="24"/>
          <w:highlight w:val="none"/>
          <w:lang w:eastAsia="zh-CN"/>
        </w:rPr>
        <w:t>项目不接受多家单位联合报价，不允许分包或转包。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4"/>
          <w:highlight w:val="none"/>
        </w:rPr>
        <w:t xml:space="preserve">。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_GB2312" w:cs="仿宋"/>
          <w:sz w:val="24"/>
          <w:highlight w:val="none"/>
          <w:lang w:eastAsia="zh-CN"/>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lang w:eastAsia="zh-CN"/>
        </w:rPr>
        <w:t>。</w:t>
      </w:r>
    </w:p>
    <w:p w14:paraId="029BB32C">
      <w:pPr>
        <w:wordWrap w:val="0"/>
        <w:spacing w:line="360" w:lineRule="auto"/>
        <w:ind w:firstLine="480" w:firstLineChars="200"/>
        <w:rPr>
          <w:rFonts w:hint="eastAsia" w:ascii="仿宋_GB2312" w:hAnsi="宋体" w:eastAsia="仿宋_GB2312"/>
          <w:color w:val="000000"/>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lang w:eastAsia="zh-CN"/>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r>
        <w:rPr>
          <w:rFonts w:hint="eastAsia" w:ascii="仿宋" w:hAnsi="仿宋" w:eastAsia="仿宋"/>
          <w:color w:val="000000"/>
          <w:sz w:val="24"/>
          <w:highlight w:val="none"/>
          <w:lang w:eastAsia="zh-CN"/>
        </w:rPr>
        <w:t>。</w:t>
      </w:r>
    </w:p>
    <w:p w14:paraId="78BD574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销售和安装</w:t>
      </w:r>
      <w:r>
        <w:rPr>
          <w:rFonts w:hint="eastAsia" w:ascii="仿宋" w:hAnsi="仿宋" w:eastAsia="仿宋" w:cs="仿宋"/>
          <w:sz w:val="24"/>
          <w:highlight w:val="none"/>
        </w:rPr>
        <w:t>能力（以上两项需同时具备）的设备厂商承诺书，若是授权代理商，提供所投标货物生产制造商出具的书面授权书</w:t>
      </w:r>
      <w:r>
        <w:rPr>
          <w:rFonts w:hint="eastAsia" w:ascii="仿宋" w:hAnsi="仿宋" w:eastAsia="仿宋" w:cs="仿宋"/>
          <w:sz w:val="24"/>
          <w:highlight w:val="none"/>
          <w:lang w:val="en-US" w:eastAsia="zh-CN"/>
        </w:rPr>
        <w:t>及具有销售和安装能力的承诺书</w:t>
      </w:r>
      <w:r>
        <w:rPr>
          <w:rFonts w:hint="eastAsia" w:ascii="仿宋" w:hAnsi="仿宋" w:eastAsia="仿宋" w:cs="仿宋"/>
          <w:sz w:val="24"/>
          <w:highlight w:val="none"/>
        </w:rPr>
        <w:t>；采购单位只接受生产厂家一份项目授权书；若制造商与其授权的代理商同时投标，以制造商作为有效</w:t>
      </w: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人</w:t>
      </w:r>
      <w:r>
        <w:rPr>
          <w:rFonts w:hint="eastAsia" w:ascii="仿宋" w:hAnsi="仿宋" w:eastAsia="仿宋" w:cs="仿宋"/>
          <w:sz w:val="24"/>
          <w:highlight w:val="none"/>
          <w:lang w:eastAsia="zh-CN"/>
        </w:rPr>
        <w:t>。</w:t>
      </w:r>
    </w:p>
    <w:p w14:paraId="0C62ECCE">
      <w:pPr>
        <w:wordWrap w:val="0"/>
        <w:spacing w:line="360" w:lineRule="auto"/>
        <w:ind w:firstLine="480" w:firstLineChars="200"/>
        <w:rPr>
          <w:rFonts w:hint="eastAsia" w:ascii="仿宋" w:hAnsi="仿宋" w:eastAsia="仿宋" w:cs="Times New Roman"/>
          <w:color w:val="000000"/>
          <w:sz w:val="24"/>
          <w:highlight w:val="none"/>
          <w:lang w:val="en-US" w:eastAsia="zh-CN"/>
        </w:rPr>
      </w:pPr>
      <w:r>
        <w:rPr>
          <w:rFonts w:hint="eastAsia" w:ascii="仿宋" w:hAnsi="仿宋" w:eastAsia="仿宋" w:cs="Times New Roman"/>
          <w:color w:val="000000"/>
          <w:sz w:val="24"/>
          <w:highlight w:val="none"/>
          <w:lang w:val="en-US" w:eastAsia="zh-CN"/>
        </w:rPr>
        <w:t>（4）提供一般纳税人认定资格证明材料及提供已开出税率13%的增值税专用发票复印件。</w:t>
      </w:r>
    </w:p>
    <w:p w14:paraId="28B8B187">
      <w:pPr>
        <w:pStyle w:val="2"/>
        <w:rPr>
          <w:rFonts w:hint="eastAsia"/>
        </w:rPr>
      </w:pPr>
      <w:r>
        <w:rPr>
          <w:rFonts w:hint="eastAsia" w:ascii="仿宋" w:hAnsi="仿宋" w:eastAsia="仿宋" w:cs="Times New Roman"/>
          <w:color w:val="000000"/>
          <w:kern w:val="2"/>
          <w:sz w:val="24"/>
          <w:szCs w:val="24"/>
          <w:highlight w:val="none"/>
          <w:lang w:val="en-US" w:eastAsia="zh-CN" w:bidi="ar-SA"/>
        </w:rPr>
        <w:t>（5）</w:t>
      </w:r>
      <w:r>
        <w:rPr>
          <w:rFonts w:hint="eastAsia" w:ascii="仿宋" w:hAnsi="仿宋" w:eastAsia="仿宋" w:cs="Times New Roman"/>
          <w:color w:val="000000"/>
          <w:sz w:val="24"/>
          <w:highlight w:val="none"/>
          <w:lang w:val="en-US" w:eastAsia="zh-CN"/>
        </w:rPr>
        <w:t>提供</w:t>
      </w:r>
      <w:r>
        <w:rPr>
          <w:rFonts w:hint="eastAsia" w:ascii="仿宋" w:hAnsi="仿宋" w:eastAsia="仿宋" w:cs="Times New Roman"/>
          <w:color w:val="000000"/>
          <w:kern w:val="2"/>
          <w:sz w:val="24"/>
          <w:szCs w:val="24"/>
          <w:highlight w:val="none"/>
          <w:lang w:val="en-US" w:eastAsia="zh-CN" w:bidi="ar-SA"/>
        </w:rPr>
        <w:t>近1年（2025年01月01日至今）任意3个月的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C33C06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
          <w:color w:val="000000"/>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rPr>
        <w:t>财务报表或经过第三方专业审计机构审计的财务报告</w:t>
      </w:r>
      <w:r>
        <w:rPr>
          <w:rFonts w:hint="eastAsia" w:ascii="仿宋" w:hAnsi="仿宋" w:eastAsia="仿宋" w:cs="仿宋"/>
          <w:sz w:val="24"/>
          <w:highlight w:val="none"/>
          <w:lang w:val="en-US" w:eastAsia="zh-CN"/>
        </w:rPr>
        <w:t>（新成立企业提供成立年度至投标截止日的财务审计报告或财务报表）</w:t>
      </w:r>
      <w:r>
        <w:rPr>
          <w:rFonts w:hint="eastAsia" w:ascii="仿宋" w:hAnsi="仿宋" w:eastAsia="仿宋" w:cs="仿宋"/>
          <w:sz w:val="24"/>
          <w:highlight w:val="none"/>
          <w:lang w:eastAsia="zh-CN"/>
        </w:rPr>
        <w:t>。</w:t>
      </w:r>
    </w:p>
    <w:p w14:paraId="799E5758">
      <w:pPr>
        <w:numPr>
          <w:ilvl w:val="0"/>
          <w:numId w:val="0"/>
        </w:numPr>
        <w:wordWrap w:val="0"/>
        <w:spacing w:line="360" w:lineRule="auto"/>
        <w:ind w:leftChars="200"/>
        <w:rPr>
          <w:rFonts w:hint="eastAsia" w:ascii="仿宋_GB2312" w:hAnsi="宋体" w:eastAsia="仿宋_GB2312"/>
          <w:color w:val="000000"/>
          <w:sz w:val="24"/>
          <w:highlight w:val="none"/>
          <w:lang w:eastAsia="zh-CN"/>
        </w:rPr>
      </w:pPr>
      <w:bookmarkStart w:id="0" w:name="OLE_LINK8"/>
      <w:bookmarkStart w:id="1" w:name="OLE_LINK14"/>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lang w:val="en-US" w:eastAsia="zh-CN"/>
        </w:rPr>
        <w:t>7</w:t>
      </w:r>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rPr>
        <w:t>提供</w:t>
      </w:r>
      <w:r>
        <w:rPr>
          <w:rFonts w:hint="eastAsia" w:ascii="仿宋" w:hAnsi="仿宋" w:eastAsia="仿宋" w:cs="仿宋"/>
          <w:color w:val="000000"/>
          <w:sz w:val="24"/>
          <w:highlight w:val="none"/>
          <w:lang w:eastAsia="zh-CN"/>
        </w:rPr>
        <w:t>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r>
        <w:rPr>
          <w:rFonts w:hint="eastAsia" w:ascii="仿宋_GB2312" w:hAnsi="宋体" w:eastAsia="仿宋_GB2312"/>
          <w:color w:val="000000"/>
          <w:sz w:val="24"/>
          <w:highlight w:val="none"/>
          <w:lang w:eastAsia="zh-CN"/>
        </w:rPr>
        <w:t>。</w:t>
      </w:r>
    </w:p>
    <w:p w14:paraId="14078C50">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r>
        <w:rPr>
          <w:rFonts w:hint="eastAsia" w:ascii="仿宋_GB2312" w:hAnsi="宋体" w:eastAsia="仿宋_GB2312" w:cs="Arial"/>
          <w:sz w:val="24"/>
          <w:highlight w:val="none"/>
          <w:lang w:eastAsia="zh-CN"/>
        </w:rPr>
        <w:t>。</w:t>
      </w:r>
    </w:p>
    <w:p w14:paraId="40A40778">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r>
        <w:rPr>
          <w:rFonts w:hint="eastAsia" w:ascii="仿宋_GB2312" w:hAnsi="宋体" w:eastAsia="仿宋_GB2312" w:cs="Arial"/>
          <w:sz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）提供保密承诺书（附件2）</w:t>
      </w:r>
      <w:r>
        <w:rPr>
          <w:rFonts w:hint="eastAsia" w:ascii="仿宋_GB2312" w:hAnsi="宋体" w:eastAsia="仿宋_GB2312" w:cs="Arial"/>
          <w:sz w:val="24"/>
          <w:highlight w:val="none"/>
          <w:lang w:eastAsia="zh-CN"/>
        </w:rPr>
        <w:t>。</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default" w:ascii="仿宋_GB2312" w:hAnsi="宋体" w:eastAsia="仿宋_GB2312" w:cs="Arial"/>
          <w:sz w:val="24"/>
          <w:highlight w:val="none"/>
          <w:lang w:val="en-US"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12</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13</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提供诚信合作廉洁承诺书（附件5）。</w:t>
      </w:r>
    </w:p>
    <w:p w14:paraId="62BE0207">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w:t>
      </w:r>
      <w:r>
        <w:rPr>
          <w:rFonts w:hint="eastAsia" w:ascii="仿宋" w:hAnsi="仿宋" w:eastAsia="仿宋" w:cs="仿宋"/>
          <w:sz w:val="24"/>
          <w:highlight w:val="none"/>
          <w:lang w:val="en-US" w:eastAsia="zh-CN"/>
        </w:rPr>
        <w:t>询价单</w:t>
      </w:r>
      <w:r>
        <w:rPr>
          <w:rFonts w:hint="eastAsia" w:ascii="仿宋" w:hAnsi="仿宋" w:eastAsia="仿宋" w:cs="仿宋"/>
          <w:sz w:val="24"/>
          <w:highlight w:val="none"/>
        </w:rPr>
        <w:t>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w:t>
      </w:r>
      <w:r>
        <w:rPr>
          <w:rFonts w:hint="eastAsia" w:ascii="仿宋_GB2312" w:hAnsi="宋体" w:eastAsia="仿宋_GB2312"/>
          <w:sz w:val="24"/>
          <w:highlight w:val="none"/>
          <w:u w:val="none"/>
        </w:rPr>
        <w:t>日 0 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7</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04月8</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3、询比价单发售时间：202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9日0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4、比价时间：202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13</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09</w:t>
      </w:r>
      <w:r>
        <w:rPr>
          <w:rFonts w:hint="eastAsia" w:ascii="仿宋_GB2312" w:hAnsi="宋体" w:eastAsia="仿宋_GB2312"/>
          <w:sz w:val="24"/>
          <w:highlight w:val="none"/>
          <w:u w:val="none"/>
        </w:rPr>
        <w:t>时；（以发出的询价单为准）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lang w:val="en-US" w:eastAsia="zh-CN"/>
        </w:rPr>
        <w:t>九</w:t>
      </w:r>
      <w:r>
        <w:rPr>
          <w:rFonts w:hint="eastAsia" w:ascii="仿宋_GB2312" w:hAnsi="宋体" w:eastAsia="仿宋_GB2312"/>
          <w:b/>
          <w:sz w:val="24"/>
          <w:highlight w:val="none"/>
        </w:rPr>
        <w:t>、采购招标实施方及联系方式：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史福龙</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联系方式：13474830806</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default" w:ascii="仿宋" w:hAnsi="仿宋" w:eastAsia="仿宋"/>
          <w:color w:val="BFBFBF" w:themeColor="background1" w:themeShade="BF"/>
          <w:sz w:val="24"/>
          <w:highlight w:val="none"/>
          <w:lang w:val="en-US" w:eastAsia="zh-CN"/>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lang w:val="en-US" w:eastAsia="zh-CN"/>
        </w:rPr>
        <w:t>潘宏</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18686095595</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w:t>
      </w:r>
      <w:r>
        <w:rPr>
          <w:rFonts w:ascii="宋体" w:hAnsi="宋体" w:eastAsia="宋体" w:cs="宋体"/>
          <w:sz w:val="24"/>
          <w:szCs w:val="24"/>
        </w:rPr>
        <w:t>panhong@mengniu.cn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w:t>
      </w:r>
      <w:r>
        <w:rPr>
          <w:rFonts w:hint="eastAsia" w:ascii="仿宋" w:hAnsi="仿宋" w:eastAsia="仿宋" w:cs="Times New Roman"/>
          <w:sz w:val="24"/>
          <w:highlight w:val="none"/>
        </w:rPr>
        <w:t>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4"/>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，不分包或转包声明</w:t>
      </w:r>
    </w:p>
    <w:p w14:paraId="53964B3A">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4"/>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4"/>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6.蒙牛集团工程设备采购业务供应商管理8条红线确认书</w:t>
      </w:r>
    </w:p>
    <w:p w14:paraId="09ECD864">
      <w:pPr>
        <w:pStyle w:val="4"/>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7.诚信合作廉洁承诺书</w:t>
      </w:r>
    </w:p>
    <w:p w14:paraId="4100B688">
      <w:pPr>
        <w:pStyle w:val="4"/>
        <w:wordWrap w:val="0"/>
        <w:spacing w:line="360" w:lineRule="auto"/>
        <w:ind w:firstLine="1200" w:firstLineChars="500"/>
        <w:rPr>
          <w:rFonts w:hint="eastAsia" w:ascii="仿宋" w:hAnsi="仿宋" w:eastAsia="仿宋" w:cs="仿宋"/>
          <w:sz w:val="24"/>
          <w:highlight w:val="none"/>
          <w:lang w:val="en-US" w:eastAsia="zh-CN"/>
        </w:rPr>
      </w:pP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采购人：内蒙古蒙牛乳业（集团）股份有限公司</w:t>
      </w:r>
      <w:bookmarkStart w:id="3" w:name="_GoBack"/>
      <w:bookmarkEnd w:id="3"/>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日</w:t>
      </w: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1"/>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1"/>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3"/>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w:t>
      </w:r>
      <w:r>
        <w:rPr>
          <w:rFonts w:hint="eastAsia" w:ascii="仿宋" w:hAnsi="仿宋" w:eastAsia="仿宋" w:cs="仿宋"/>
          <w:color w:val="000000"/>
          <w:kern w:val="0"/>
          <w:sz w:val="24"/>
          <w:szCs w:val="24"/>
          <w:highlight w:val="none"/>
          <w:lang w:val="en-US" w:eastAsia="zh-CN"/>
        </w:rPr>
        <w:t>询比价</w:t>
      </w:r>
      <w:r>
        <w:rPr>
          <w:rFonts w:hint="eastAsia" w:ascii="仿宋" w:hAnsi="仿宋" w:eastAsia="仿宋" w:cs="仿宋"/>
          <w:color w:val="000000"/>
          <w:kern w:val="0"/>
          <w:sz w:val="24"/>
          <w:szCs w:val="24"/>
          <w:highlight w:val="none"/>
        </w:rPr>
        <w:t>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3"/>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w:t>
      </w:r>
      <w:r>
        <w:rPr>
          <w:rFonts w:hint="eastAsia" w:ascii="仿宋" w:hAnsi="仿宋" w:eastAsia="仿宋" w:cs="仿宋"/>
          <w:b/>
          <w:sz w:val="24"/>
          <w:highlight w:val="none"/>
          <w:lang w:val="en-US" w:eastAsia="zh-CN"/>
        </w:rPr>
        <w:t>询价</w:t>
      </w:r>
      <w:r>
        <w:rPr>
          <w:rFonts w:hint="eastAsia" w:ascii="仿宋" w:hAnsi="仿宋" w:eastAsia="仿宋" w:cs="仿宋"/>
          <w:b/>
          <w:sz w:val="24"/>
          <w:highlight w:val="none"/>
        </w:rPr>
        <w:t>，不分包或转包声明</w:t>
      </w:r>
    </w:p>
    <w:p w14:paraId="4B62650E">
      <w:pPr>
        <w:pStyle w:val="6"/>
        <w:wordWrap w:val="0"/>
        <w:autoSpaceDE/>
        <w:autoSpaceDN/>
        <w:spacing w:line="360" w:lineRule="auto"/>
        <w:ind w:left="0" w:firstLine="480" w:firstLineChars="200"/>
        <w:jc w:val="both"/>
        <w:rPr>
          <w:rFonts w:hint="eastAsia" w:hAnsi="仿宋"/>
          <w:sz w:val="24"/>
          <w:szCs w:val="24"/>
          <w:highlight w:val="none"/>
        </w:rPr>
      </w:pPr>
    </w:p>
    <w:p w14:paraId="66CAF631">
      <w:pPr>
        <w:pStyle w:val="6"/>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6"/>
        <w:wordWrap w:val="0"/>
        <w:autoSpaceDE/>
        <w:autoSpaceDN/>
        <w:spacing w:line="360" w:lineRule="auto"/>
        <w:ind w:left="0" w:firstLine="480" w:firstLineChars="200"/>
        <w:jc w:val="both"/>
        <w:rPr>
          <w:rFonts w:hint="eastAsia" w:hAnsi="仿宋"/>
          <w:sz w:val="24"/>
          <w:szCs w:val="24"/>
          <w:highlight w:val="none"/>
        </w:rPr>
      </w:pPr>
    </w:p>
    <w:p w14:paraId="1E75B38D">
      <w:pPr>
        <w:pStyle w:val="6"/>
        <w:wordWrap w:val="0"/>
        <w:autoSpaceDE/>
        <w:autoSpaceDN/>
        <w:spacing w:line="360" w:lineRule="auto"/>
        <w:ind w:left="0" w:firstLine="480" w:firstLineChars="200"/>
        <w:jc w:val="both"/>
        <w:rPr>
          <w:rFonts w:hint="eastAsia" w:hAnsi="仿宋"/>
          <w:sz w:val="24"/>
          <w:szCs w:val="24"/>
          <w:highlight w:val="none"/>
        </w:rPr>
      </w:pPr>
    </w:p>
    <w:p w14:paraId="7E6B5E8D">
      <w:pPr>
        <w:pStyle w:val="6"/>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6"/>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6"/>
        <w:wordWrap w:val="0"/>
        <w:autoSpaceDE/>
        <w:autoSpaceDN/>
        <w:spacing w:line="360" w:lineRule="auto"/>
        <w:ind w:left="0" w:firstLine="480" w:firstLineChars="200"/>
        <w:jc w:val="both"/>
        <w:rPr>
          <w:rFonts w:hint="eastAsia" w:hAnsi="仿宋"/>
          <w:sz w:val="24"/>
          <w:szCs w:val="24"/>
          <w:highlight w:val="none"/>
        </w:rPr>
      </w:pPr>
    </w:p>
    <w:p w14:paraId="4D7126B6">
      <w:pPr>
        <w:pStyle w:val="6"/>
        <w:wordWrap w:val="0"/>
        <w:autoSpaceDE/>
        <w:autoSpaceDN/>
        <w:spacing w:line="360" w:lineRule="auto"/>
        <w:ind w:left="0" w:firstLine="480" w:firstLineChars="200"/>
        <w:jc w:val="both"/>
        <w:rPr>
          <w:rFonts w:hint="eastAsia" w:hAnsi="仿宋"/>
          <w:sz w:val="24"/>
          <w:szCs w:val="24"/>
          <w:highlight w:val="none"/>
        </w:rPr>
      </w:pPr>
    </w:p>
    <w:p w14:paraId="08E6DFCC">
      <w:pPr>
        <w:pStyle w:val="6"/>
        <w:wordWrap w:val="0"/>
        <w:autoSpaceDE/>
        <w:autoSpaceDN/>
        <w:spacing w:line="360" w:lineRule="auto"/>
        <w:ind w:left="0" w:firstLine="480" w:firstLineChars="200"/>
        <w:jc w:val="both"/>
        <w:rPr>
          <w:rFonts w:hint="eastAsia" w:hAnsi="仿宋"/>
          <w:sz w:val="24"/>
          <w:szCs w:val="24"/>
          <w:highlight w:val="none"/>
        </w:rPr>
      </w:pPr>
    </w:p>
    <w:p w14:paraId="1C245A1F">
      <w:pPr>
        <w:pStyle w:val="6"/>
        <w:wordWrap w:val="0"/>
        <w:autoSpaceDE/>
        <w:autoSpaceDN/>
        <w:spacing w:line="360" w:lineRule="auto"/>
        <w:ind w:left="0" w:firstLine="480" w:firstLineChars="200"/>
        <w:jc w:val="both"/>
        <w:rPr>
          <w:rFonts w:hint="eastAsia" w:hAnsi="仿宋"/>
          <w:sz w:val="24"/>
          <w:szCs w:val="24"/>
          <w:highlight w:val="none"/>
        </w:rPr>
      </w:pPr>
    </w:p>
    <w:p w14:paraId="39A215E7">
      <w:pPr>
        <w:pStyle w:val="6"/>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1197191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w:t>
      </w:r>
    </w:p>
    <w:p w14:paraId="1376DCC4">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default" w:ascii="仿宋_GB2312" w:hAnsi="宋体" w:eastAsia="仿宋_GB2312" w:cs="仿宋"/>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p w14:paraId="64F86A32">
      <w:pPr>
        <w:pStyle w:val="6"/>
        <w:spacing w:before="255" w:line="221" w:lineRule="auto"/>
        <w:outlineLvl w:val="0"/>
        <w:rPr>
          <w:rFonts w:hint="eastAsia" w:ascii="仿宋" w:hAnsi="仿宋" w:eastAsia="仿宋" w:cs="仿宋"/>
          <w:b/>
          <w:bCs/>
          <w:color w:val="181C1F"/>
          <w:spacing w:val="-4"/>
          <w:sz w:val="24"/>
          <w:szCs w:val="24"/>
          <w:highlight w:val="none"/>
        </w:rPr>
      </w:pPr>
      <w:r>
        <w:rPr>
          <w:rFonts w:hint="eastAsia" w:ascii="仿宋" w:hAnsi="仿宋" w:eastAsia="仿宋" w:cs="仿宋"/>
          <w:b/>
          <w:bCs/>
          <w:sz w:val="24"/>
          <w:szCs w:val="24"/>
        </w:rPr>
        <w:t>附件</w:t>
      </w:r>
      <w:r>
        <w:rPr>
          <w:rFonts w:hint="eastAsia" w:hAnsi="仿宋" w:cs="仿宋"/>
          <w:b/>
          <w:bCs/>
          <w:sz w:val="24"/>
          <w:szCs w:val="24"/>
          <w:lang w:val="en-US" w:eastAsia="zh-CN"/>
        </w:rPr>
        <w:t>7</w:t>
      </w:r>
      <w:r>
        <w:rPr>
          <w:rFonts w:hint="eastAsia" w:ascii="仿宋" w:hAnsi="仿宋" w:eastAsia="仿宋" w:cs="仿宋"/>
          <w:b/>
          <w:bCs/>
          <w:sz w:val="24"/>
          <w:szCs w:val="24"/>
        </w:rPr>
        <w:t>：</w:t>
      </w:r>
    </w:p>
    <w:p w14:paraId="0DC8786E">
      <w:pPr>
        <w:pStyle w:val="6"/>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7ADCC800">
      <w:pPr>
        <w:pStyle w:val="6"/>
        <w:spacing w:before="65" w:line="240"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5909C8B">
      <w:pPr>
        <w:pStyle w:val="6"/>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1E266B0E">
      <w:pPr>
        <w:pStyle w:val="6"/>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34956E6D">
      <w:pPr>
        <w:pStyle w:val="6"/>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127A564">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0DC01426">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45D33C3F">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0FE20A10">
      <w:pPr>
        <w:pStyle w:val="6"/>
        <w:spacing w:before="65" w:line="230" w:lineRule="auto"/>
        <w:ind w:left="39"/>
        <w:rPr>
          <w:rFonts w:hint="eastAsia" w:ascii="仿宋" w:hAnsi="仿宋" w:eastAsia="仿宋" w:cs="仿宋"/>
          <w:spacing w:val="5"/>
          <w:sz w:val="24"/>
          <w:szCs w:val="24"/>
          <w:highlight w:val="none"/>
        </w:rPr>
      </w:pPr>
    </w:p>
    <w:p w14:paraId="1FC0A192">
      <w:pPr>
        <w:pStyle w:val="6"/>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4A12E791">
      <w:pPr>
        <w:pStyle w:val="6"/>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电话：18004862111                    电话：0471-7390699</w:t>
      </w:r>
    </w:p>
    <w:p w14:paraId="69AFC27F">
      <w:pPr>
        <w:pStyle w:val="6"/>
        <w:spacing w:before="147" w:line="224" w:lineRule="auto"/>
        <w:ind w:left="4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w:t>
      </w:r>
      <w:r>
        <w:rPr>
          <w:rFonts w:hint="eastAsia" w:ascii="仿宋" w:hAnsi="仿宋" w:eastAsia="仿宋" w:cs="仿宋"/>
          <w:spacing w:val="11"/>
          <w:sz w:val="24"/>
          <w:szCs w:val="24"/>
          <w:highlight w:val="none"/>
          <w:lang w:val="en-US" w:eastAsia="zh-CN"/>
        </w:rPr>
        <w:t xml:space="preserve">    </w:t>
      </w: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6"/>
        <w:spacing w:before="159" w:line="230" w:lineRule="auto"/>
        <w:ind w:left="443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sz w:val="24"/>
          <w:szCs w:val="24"/>
          <w:highlight w:val="none"/>
        </w:rPr>
        <w:t>举报二维码：</w:t>
      </w:r>
    </w:p>
    <w:p w14:paraId="0D37DE9A">
      <w:pPr>
        <w:widowControl/>
        <w:adjustRightInd w:val="0"/>
        <w:snapToGrid w:val="0"/>
        <w:spacing w:line="360" w:lineRule="auto"/>
        <w:ind w:firstLine="480" w:firstLineChars="200"/>
        <w:rPr>
          <w:rFonts w:hint="eastAsia" w:ascii="仿宋" w:hAnsi="仿宋" w:eastAsia="仿宋" w:cs="仿宋"/>
          <w:sz w:val="24"/>
          <w:szCs w:val="24"/>
        </w:rPr>
      </w:pPr>
    </w:p>
    <w:p w14:paraId="305CE7AE">
      <w:pPr>
        <w:pStyle w:val="2"/>
        <w:rPr>
          <w:rFonts w:hint="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255A"/>
    <w:multiLevelType w:val="singleLevel"/>
    <w:tmpl w:val="B4FA25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B3097E"/>
    <w:rsid w:val="02E44E6C"/>
    <w:rsid w:val="03951A78"/>
    <w:rsid w:val="03B44E81"/>
    <w:rsid w:val="052851DF"/>
    <w:rsid w:val="053A4F12"/>
    <w:rsid w:val="05B47D59"/>
    <w:rsid w:val="05DE522C"/>
    <w:rsid w:val="0624290B"/>
    <w:rsid w:val="06AB60C8"/>
    <w:rsid w:val="06E96BF0"/>
    <w:rsid w:val="073B3CEA"/>
    <w:rsid w:val="07571D2F"/>
    <w:rsid w:val="084F00A4"/>
    <w:rsid w:val="08F97977"/>
    <w:rsid w:val="090366FA"/>
    <w:rsid w:val="09616F12"/>
    <w:rsid w:val="097D11DC"/>
    <w:rsid w:val="0B8909A2"/>
    <w:rsid w:val="0BE91440"/>
    <w:rsid w:val="0CDD0DB5"/>
    <w:rsid w:val="0E78103B"/>
    <w:rsid w:val="0E9438E5"/>
    <w:rsid w:val="0EA8185F"/>
    <w:rsid w:val="0EE73A1C"/>
    <w:rsid w:val="0F056D15"/>
    <w:rsid w:val="0FC65D20"/>
    <w:rsid w:val="11496C09"/>
    <w:rsid w:val="11ED4E80"/>
    <w:rsid w:val="12DC35D3"/>
    <w:rsid w:val="12EB3CF0"/>
    <w:rsid w:val="1337349C"/>
    <w:rsid w:val="135E44C2"/>
    <w:rsid w:val="137000F1"/>
    <w:rsid w:val="1383457B"/>
    <w:rsid w:val="14853CEB"/>
    <w:rsid w:val="14BD7487"/>
    <w:rsid w:val="1581337D"/>
    <w:rsid w:val="16200000"/>
    <w:rsid w:val="17C074F9"/>
    <w:rsid w:val="17DB2BFC"/>
    <w:rsid w:val="184B21C1"/>
    <w:rsid w:val="18DC1A2A"/>
    <w:rsid w:val="1A7A4433"/>
    <w:rsid w:val="1A863657"/>
    <w:rsid w:val="1BFC49DC"/>
    <w:rsid w:val="1C4A1A87"/>
    <w:rsid w:val="1C8C20A0"/>
    <w:rsid w:val="1C9126AD"/>
    <w:rsid w:val="1C9829AB"/>
    <w:rsid w:val="1D247B6C"/>
    <w:rsid w:val="1DDB32DF"/>
    <w:rsid w:val="1E1E4F79"/>
    <w:rsid w:val="1FD55B0C"/>
    <w:rsid w:val="223F02D6"/>
    <w:rsid w:val="2252728E"/>
    <w:rsid w:val="22D87DED"/>
    <w:rsid w:val="23BC0A55"/>
    <w:rsid w:val="2443573A"/>
    <w:rsid w:val="25C66622"/>
    <w:rsid w:val="26680056"/>
    <w:rsid w:val="274E4B21"/>
    <w:rsid w:val="2778394C"/>
    <w:rsid w:val="28164083"/>
    <w:rsid w:val="28414686"/>
    <w:rsid w:val="288216BD"/>
    <w:rsid w:val="28F23FF4"/>
    <w:rsid w:val="291A3278"/>
    <w:rsid w:val="2A9A140D"/>
    <w:rsid w:val="2B142F9F"/>
    <w:rsid w:val="2B765BCC"/>
    <w:rsid w:val="2BE94764"/>
    <w:rsid w:val="2CD930DF"/>
    <w:rsid w:val="2DAE66E2"/>
    <w:rsid w:val="2DC218B7"/>
    <w:rsid w:val="2E923061"/>
    <w:rsid w:val="30E71E76"/>
    <w:rsid w:val="31522699"/>
    <w:rsid w:val="31B4786F"/>
    <w:rsid w:val="31E3411E"/>
    <w:rsid w:val="333E1EEE"/>
    <w:rsid w:val="33B46109"/>
    <w:rsid w:val="345D7DC5"/>
    <w:rsid w:val="35266C07"/>
    <w:rsid w:val="35D26A97"/>
    <w:rsid w:val="35E328D9"/>
    <w:rsid w:val="36A52284"/>
    <w:rsid w:val="36F04374"/>
    <w:rsid w:val="37B31C60"/>
    <w:rsid w:val="37CD65F1"/>
    <w:rsid w:val="38F43DFA"/>
    <w:rsid w:val="3ABB2076"/>
    <w:rsid w:val="3C730015"/>
    <w:rsid w:val="3C90308E"/>
    <w:rsid w:val="3E9A6446"/>
    <w:rsid w:val="3FC4377B"/>
    <w:rsid w:val="401144E6"/>
    <w:rsid w:val="40D27F03"/>
    <w:rsid w:val="40D53766"/>
    <w:rsid w:val="4142704D"/>
    <w:rsid w:val="422863B6"/>
    <w:rsid w:val="44D501D8"/>
    <w:rsid w:val="44DC50C3"/>
    <w:rsid w:val="45886FF9"/>
    <w:rsid w:val="49142A64"/>
    <w:rsid w:val="49A8400E"/>
    <w:rsid w:val="4A40356A"/>
    <w:rsid w:val="4A435A05"/>
    <w:rsid w:val="4DFC67D6"/>
    <w:rsid w:val="4F787C99"/>
    <w:rsid w:val="4FB8497E"/>
    <w:rsid w:val="504D3319"/>
    <w:rsid w:val="50A5479F"/>
    <w:rsid w:val="50C377B8"/>
    <w:rsid w:val="51AB479B"/>
    <w:rsid w:val="5283726B"/>
    <w:rsid w:val="53651C00"/>
    <w:rsid w:val="53E67771"/>
    <w:rsid w:val="56CD0D0F"/>
    <w:rsid w:val="56F21A96"/>
    <w:rsid w:val="57137B6D"/>
    <w:rsid w:val="57205573"/>
    <w:rsid w:val="5847364F"/>
    <w:rsid w:val="588B2C30"/>
    <w:rsid w:val="58914855"/>
    <w:rsid w:val="58AB6E2E"/>
    <w:rsid w:val="59653481"/>
    <w:rsid w:val="5B4377F2"/>
    <w:rsid w:val="5C3A1D56"/>
    <w:rsid w:val="5C5011AF"/>
    <w:rsid w:val="5D290C69"/>
    <w:rsid w:val="5D3715D8"/>
    <w:rsid w:val="5E4A34A1"/>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240F7A"/>
    <w:rsid w:val="6C613F7C"/>
    <w:rsid w:val="6E0B0332"/>
    <w:rsid w:val="6E5645A2"/>
    <w:rsid w:val="6E596FF4"/>
    <w:rsid w:val="6ED24CBD"/>
    <w:rsid w:val="6EEB354F"/>
    <w:rsid w:val="70410BCF"/>
    <w:rsid w:val="72655E48"/>
    <w:rsid w:val="7386076C"/>
    <w:rsid w:val="743106D8"/>
    <w:rsid w:val="74C4154C"/>
    <w:rsid w:val="74EE0377"/>
    <w:rsid w:val="754E0E15"/>
    <w:rsid w:val="75607F8B"/>
    <w:rsid w:val="75952EE8"/>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Chars="200"/>
    </w:p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Body Text 3"/>
    <w:basedOn w:val="1"/>
    <w:qFormat/>
    <w:uiPriority w:val="0"/>
    <w:rPr>
      <w:rFonts w:ascii="宋体" w:hAnsi="Calibri"/>
      <w:sz w:val="24"/>
      <w:szCs w:val="20"/>
    </w:rPr>
  </w:style>
  <w:style w:type="paragraph" w:styleId="6">
    <w:name w:val="Body Text"/>
    <w:basedOn w:val="1"/>
    <w:next w:val="7"/>
    <w:qFormat/>
    <w:uiPriority w:val="1"/>
    <w:pPr>
      <w:autoSpaceDE w:val="0"/>
      <w:autoSpaceDN w:val="0"/>
      <w:adjustRightInd w:val="0"/>
      <w:ind w:left="108"/>
      <w:jc w:val="left"/>
    </w:pPr>
    <w:rPr>
      <w:rFonts w:ascii="仿宋" w:eastAsia="仿宋" w:cs="仿宋"/>
      <w:kern w:val="0"/>
      <w:sz w:val="32"/>
      <w:szCs w:val="32"/>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Plain Text"/>
    <w:basedOn w:val="1"/>
    <w:qFormat/>
    <w:uiPriority w:val="0"/>
    <w:rPr>
      <w:rFonts w:ascii="Courier New" w:hAnsi="Courier New"/>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7"/>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批注框文本 字符"/>
    <w:basedOn w:val="15"/>
    <w:link w:val="9"/>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10958</Words>
  <Characters>11588</Characters>
  <Lines>576</Lines>
  <Paragraphs>591</Paragraphs>
  <TotalTime>24</TotalTime>
  <ScaleCrop>false</ScaleCrop>
  <LinksUpToDate>false</LinksUpToDate>
  <CharactersWithSpaces>12246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2026-03-31T07:46:57Z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