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bookmarkStart w:id="3" w:name="_GoBack"/>
      <w:r>
        <w:rPr>
          <w:rFonts w:hint="eastAsia" w:ascii="仿宋" w:hAnsi="仿宋" w:eastAsia="仿宋" w:cs="仿宋"/>
          <w:b/>
          <w:bCs/>
          <w:kern w:val="0"/>
          <w:sz w:val="36"/>
          <w:szCs w:val="36"/>
          <w:highlight w:val="none"/>
          <w:lang w:eastAsia="zh-CN"/>
        </w:rPr>
        <w:t>蒙牛乳业集团2026-2027年度能源管道维修、改造项目</w:t>
      </w:r>
      <w:r>
        <w:rPr>
          <w:rFonts w:hint="eastAsia" w:ascii="仿宋" w:hAnsi="仿宋" w:eastAsia="仿宋" w:cs="仿宋"/>
          <w:b/>
          <w:bCs/>
          <w:kern w:val="0"/>
          <w:sz w:val="36"/>
          <w:szCs w:val="36"/>
          <w:highlight w:val="none"/>
        </w:rPr>
        <w:t>竞争性谈判信息公告</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蒙牛乳业集团2026-2027年度能源管道维修、改造项目</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一、项目编号：MNCGJH-20260328-0002</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蒙牛乳业集团2026-2027年度能源管道维修、改造项目</w:t>
      </w:r>
    </w:p>
    <w:p w14:paraId="69F8A0B4">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乳业集团能源管道现需要维修及改造（蒸汽管道、压缩空气管道、给排水管道、制冷管道等），确保管道得到及时维修，保证设备及能源正常运行，还包含工厂内一些临时性维修工作。签订两年框架合同，以审计后实际施工量为准。</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6FD183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435CCE5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二</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6E99BD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365F3F8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拟派项目经理</w:t>
      </w:r>
      <w:r>
        <w:rPr>
          <w:rFonts w:hint="eastAsia" w:ascii="仿宋" w:hAnsi="仿宋" w:eastAsia="仿宋" w:cs="仿宋"/>
          <w:sz w:val="28"/>
          <w:szCs w:val="28"/>
          <w:highlight w:val="none"/>
        </w:rPr>
        <w:t>须为在本企业注册的建造师，具备二级及以上注册建造师执业资格和有效的安全生产考核合格证书（须为项目负责人安全生产考核合格证，即“建安B”类证）</w:t>
      </w:r>
    </w:p>
    <w:p w14:paraId="4FC90DB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2DFA289E">
      <w:pPr>
        <w:adjustRightInd w:val="0"/>
        <w:snapToGrid w:val="0"/>
        <w:spacing w:line="36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6、投标</w:t>
      </w:r>
      <w:r>
        <w:rPr>
          <w:rFonts w:hint="eastAsia" w:ascii="仿宋" w:hAnsi="仿宋" w:eastAsia="仿宋" w:cs="仿宋"/>
          <w:color w:val="FF0000"/>
          <w:sz w:val="28"/>
          <w:szCs w:val="28"/>
          <w:highlight w:val="none"/>
        </w:rPr>
        <w:t>人须具有市场监督管理部门颁发的《中华人民共和国特种设备生产许可证》</w:t>
      </w:r>
      <w:r>
        <w:rPr>
          <w:rFonts w:hint="eastAsia" w:ascii="仿宋" w:hAnsi="仿宋" w:eastAsia="仿宋" w:cs="仿宋"/>
          <w:color w:val="FF0000"/>
          <w:sz w:val="28"/>
          <w:szCs w:val="28"/>
          <w:highlight w:val="none"/>
          <w:lang w:val="en-US" w:eastAsia="zh-CN"/>
        </w:rPr>
        <w:t>工业管道安装（</w:t>
      </w:r>
      <w:r>
        <w:rPr>
          <w:rFonts w:hint="eastAsia" w:ascii="仿宋" w:hAnsi="仿宋" w:eastAsia="仿宋" w:cs="仿宋"/>
          <w:color w:val="FF0000"/>
          <w:sz w:val="28"/>
          <w:szCs w:val="28"/>
          <w:highlight w:val="none"/>
        </w:rPr>
        <w:t>GC2</w:t>
      </w:r>
      <w:r>
        <w:rPr>
          <w:rFonts w:hint="eastAsia" w:ascii="仿宋" w:hAnsi="仿宋" w:eastAsia="仿宋" w:cs="仿宋"/>
          <w:color w:val="FF0000"/>
          <w:sz w:val="28"/>
          <w:szCs w:val="28"/>
          <w:highlight w:val="none"/>
          <w:lang w:val="en-US" w:eastAsia="zh-CN"/>
        </w:rPr>
        <w:t>）</w:t>
      </w:r>
      <w:r>
        <w:rPr>
          <w:rFonts w:hint="eastAsia" w:ascii="仿宋" w:hAnsi="仿宋" w:eastAsia="仿宋" w:cs="仿宋"/>
          <w:color w:val="FF0000"/>
          <w:sz w:val="28"/>
          <w:szCs w:val="28"/>
          <w:highlight w:val="none"/>
        </w:rPr>
        <w:t>级及以上资质；</w:t>
      </w:r>
    </w:p>
    <w:p w14:paraId="32BE3B2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7、投标人必须具有一般纳税人资格；</w:t>
      </w:r>
    </w:p>
    <w:p w14:paraId="63C2FED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E5D116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3E3551F6">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10、投标人须具有（2022年-2024年或2023年-2025年）财务报表或经第三方审计的财务报告（新成立企业提供成立年度至投标截止日的财务审计报告或财务报表）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B1B8971">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2CF6318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1DB9AE6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8D7C04B">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7868B9A5">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1CAB0C83">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1175476F">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0D4EDC4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3F75D23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1F64781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56478FE8">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二</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680C4B8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2CD87D03">
      <w:pPr>
        <w:numPr>
          <w:ilvl w:val="0"/>
          <w:numId w:val="0"/>
        </w:numPr>
        <w:adjustRightInd w:val="0"/>
        <w:snapToGrid w:val="0"/>
        <w:spacing w:line="360" w:lineRule="auto"/>
        <w:ind w:firstLine="560" w:firstLineChars="200"/>
        <w:rPr>
          <w:rFonts w:hint="eastAsia" w:ascii="宋体" w:hAnsi="宋体" w:eastAsia="宋体" w:cs="宋体"/>
          <w:sz w:val="24"/>
          <w:szCs w:val="24"/>
          <w:highlight w:val="none"/>
          <w:lang w:val="en-US" w:eastAsia="zh-CN"/>
        </w:rPr>
      </w:pPr>
      <w:r>
        <w:rPr>
          <w:rFonts w:hint="eastAsia" w:ascii="仿宋" w:hAnsi="仿宋" w:eastAsia="仿宋" w:cs="仿宋"/>
          <w:sz w:val="28"/>
          <w:szCs w:val="28"/>
          <w:highlight w:val="none"/>
          <w:lang w:val="en-US" w:eastAsia="zh-CN"/>
        </w:rPr>
        <w:t>（5）提供项目经理二级及以上注册建造师执业资格证和有效的安全生产考核合格证书（须为项目负责人安全生产考核合格证，即“建安B”类证）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2810987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439F1F7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r>
        <w:rPr>
          <w:rFonts w:hint="eastAsia" w:ascii="仿宋" w:hAnsi="仿宋" w:eastAsia="仿宋" w:cs="仿宋"/>
          <w:color w:val="FF0000"/>
          <w:sz w:val="28"/>
          <w:szCs w:val="28"/>
          <w:highlight w:val="none"/>
        </w:rPr>
        <w:t>提供有效的市场监督管理部门颁发的《中华人民共和国特种设备生产许可证》</w:t>
      </w:r>
      <w:r>
        <w:rPr>
          <w:rFonts w:hint="eastAsia" w:ascii="仿宋" w:hAnsi="仿宋" w:eastAsia="仿宋" w:cs="仿宋"/>
          <w:color w:val="FF0000"/>
          <w:sz w:val="28"/>
          <w:szCs w:val="28"/>
          <w:highlight w:val="none"/>
          <w:lang w:val="en-US" w:eastAsia="zh-CN"/>
        </w:rPr>
        <w:t>工业管道安装（</w:t>
      </w:r>
      <w:r>
        <w:rPr>
          <w:rFonts w:hint="eastAsia" w:ascii="仿宋" w:hAnsi="仿宋" w:eastAsia="仿宋" w:cs="仿宋"/>
          <w:color w:val="FF0000"/>
          <w:sz w:val="28"/>
          <w:szCs w:val="28"/>
          <w:highlight w:val="none"/>
        </w:rPr>
        <w:t>GC2</w:t>
      </w:r>
      <w:r>
        <w:rPr>
          <w:rFonts w:hint="eastAsia" w:ascii="仿宋" w:hAnsi="仿宋" w:eastAsia="仿宋" w:cs="仿宋"/>
          <w:color w:val="FF0000"/>
          <w:sz w:val="28"/>
          <w:szCs w:val="28"/>
          <w:highlight w:val="none"/>
          <w:lang w:val="en-US" w:eastAsia="zh-CN"/>
        </w:rPr>
        <w:t>）</w:t>
      </w:r>
      <w:r>
        <w:rPr>
          <w:rFonts w:hint="eastAsia" w:ascii="仿宋" w:hAnsi="仿宋" w:eastAsia="仿宋" w:cs="仿宋"/>
          <w:color w:val="FF0000"/>
          <w:sz w:val="28"/>
          <w:szCs w:val="28"/>
          <w:highlight w:val="none"/>
        </w:rPr>
        <w:t>级及以上资质证书</w:t>
      </w:r>
      <w:r>
        <w:rPr>
          <w:rFonts w:hint="eastAsia" w:ascii="仿宋" w:hAnsi="仿宋" w:eastAsia="仿宋" w:cs="仿宋"/>
          <w:color w:val="FF0000"/>
          <w:sz w:val="28"/>
          <w:szCs w:val="28"/>
          <w:highlight w:val="none"/>
          <w:lang w:eastAsia="zh-CN"/>
        </w:rPr>
        <w:t>；</w:t>
      </w:r>
    </w:p>
    <w:p w14:paraId="6102254F">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w:t>
      </w:r>
      <w:r>
        <w:rPr>
          <w:rFonts w:hint="eastAsia" w:ascii="仿宋" w:hAnsi="仿宋" w:eastAsia="仿宋" w:cs="仿宋"/>
          <w:sz w:val="28"/>
          <w:szCs w:val="28"/>
          <w:highlight w:val="none"/>
        </w:rPr>
        <w:t>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1ACB48FE">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7AFED2E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3CBE22A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（11）提供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4F25CFF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50443E7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637DF72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5E76070E">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360FFD0F">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（16）提供《蒙牛集团工程设备采购业务供应商管理8条红线确认书》（附件6）</w:t>
      </w:r>
    </w:p>
    <w:p w14:paraId="69F3420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（17）提供诚信合作廉洁承诺书（附件7）</w:t>
      </w:r>
    </w:p>
    <w:p w14:paraId="077078A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20E731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本项目采用全流程电子化招标采购方式，以上各类证书、证明材料应为原件的扫描件或复印件，均需</w:t>
      </w:r>
      <w:r>
        <w:rPr>
          <w:rFonts w:hint="eastAsia" w:ascii="仿宋" w:hAnsi="仿宋" w:eastAsia="仿宋" w:cs="仿宋"/>
          <w:b/>
          <w:bCs/>
          <w:color w:val="FF0000"/>
          <w:sz w:val="28"/>
          <w:szCs w:val="28"/>
          <w:highlight w:val="none"/>
        </w:rPr>
        <w:t>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314EB12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77B19862">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6841588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48CD134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70B5017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027E0EA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6286FBB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61F6307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748BA25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1F47F85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B1D600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0808945A">
      <w:pPr>
        <w:spacing w:line="360" w:lineRule="auto"/>
        <w:rPr>
          <w:highlight w:val="none"/>
        </w:rPr>
      </w:pP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89D73F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55ED6BF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555CC85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3035AC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人：陈大禹</w:t>
      </w:r>
    </w:p>
    <w:p w14:paraId="42EFC2F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20CE443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 xml:space="preserve"> 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360" w:lineRule="auto"/>
        <w:jc w:val="center"/>
        <w:rPr>
          <w:rFonts w:hint="eastAsia" w:ascii="仿宋" w:hAnsi="仿宋" w:eastAsia="仿宋" w:cs="仿宋"/>
          <w:b/>
          <w:sz w:val="28"/>
          <w:szCs w:val="28"/>
          <w:highlight w:val="none"/>
        </w:rPr>
      </w:pPr>
    </w:p>
    <w:p w14:paraId="135E0E68">
      <w:pPr>
        <w:spacing w:line="36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36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36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36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36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36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36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36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36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360" w:lineRule="auto"/>
              <w:jc w:val="center"/>
              <w:rPr>
                <w:rFonts w:hint="eastAsia" w:ascii="仿宋" w:hAnsi="仿宋" w:eastAsia="仿宋" w:cs="仿宋"/>
                <w:b/>
                <w:kern w:val="0"/>
                <w:sz w:val="28"/>
                <w:szCs w:val="28"/>
                <w:highlight w:val="none"/>
              </w:rPr>
            </w:pPr>
          </w:p>
        </w:tc>
      </w:tr>
    </w:tbl>
    <w:p w14:paraId="62464961">
      <w:pPr>
        <w:spacing w:line="360" w:lineRule="auto"/>
        <w:jc w:val="center"/>
        <w:rPr>
          <w:rFonts w:hint="eastAsia" w:ascii="仿宋" w:hAnsi="仿宋" w:eastAsia="仿宋" w:cs="仿宋"/>
          <w:b/>
          <w:kern w:val="0"/>
          <w:sz w:val="28"/>
          <w:szCs w:val="28"/>
          <w:highlight w:val="none"/>
        </w:rPr>
      </w:pPr>
    </w:p>
    <w:p w14:paraId="4D0DCC96">
      <w:pPr>
        <w:spacing w:line="360" w:lineRule="auto"/>
        <w:jc w:val="center"/>
        <w:rPr>
          <w:rFonts w:hint="eastAsia" w:ascii="仿宋" w:hAnsi="仿宋" w:eastAsia="仿宋" w:cs="仿宋"/>
          <w:b/>
          <w:kern w:val="0"/>
          <w:sz w:val="28"/>
          <w:szCs w:val="28"/>
          <w:highlight w:val="none"/>
        </w:rPr>
      </w:pPr>
    </w:p>
    <w:p w14:paraId="116F4E6A">
      <w:pPr>
        <w:spacing w:line="360" w:lineRule="auto"/>
        <w:jc w:val="center"/>
        <w:rPr>
          <w:rFonts w:hint="eastAsia" w:ascii="仿宋" w:hAnsi="仿宋" w:eastAsia="仿宋" w:cs="仿宋"/>
          <w:b/>
          <w:kern w:val="0"/>
          <w:sz w:val="28"/>
          <w:szCs w:val="28"/>
          <w:highlight w:val="none"/>
        </w:rPr>
      </w:pPr>
    </w:p>
    <w:p w14:paraId="6FBB56AE">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36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36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36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36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36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jc w:val="center"/>
        </w:trPr>
        <w:tc>
          <w:tcPr>
            <w:tcW w:w="4541" w:type="dxa"/>
          </w:tcPr>
          <w:p w14:paraId="5A9FDE9A">
            <w:pPr>
              <w:spacing w:line="36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36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36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36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171FA424">
            <w:pPr>
              <w:spacing w:line="36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36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360" w:lineRule="auto"/>
        <w:jc w:val="both"/>
        <w:rPr>
          <w:rFonts w:hint="eastAsia" w:ascii="仿宋" w:hAnsi="仿宋" w:eastAsia="仿宋" w:cs="仿宋"/>
          <w:b/>
          <w:sz w:val="28"/>
          <w:szCs w:val="28"/>
          <w:highlight w:val="none"/>
        </w:rPr>
      </w:pPr>
    </w:p>
    <w:p w14:paraId="0D57EA1C">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36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360" w:lineRule="auto"/>
        <w:rPr>
          <w:rFonts w:hint="eastAsia" w:ascii="仿宋" w:hAnsi="仿宋" w:eastAsia="仿宋" w:cs="仿宋"/>
          <w:sz w:val="28"/>
          <w:szCs w:val="28"/>
          <w:highlight w:val="none"/>
        </w:rPr>
      </w:pPr>
    </w:p>
    <w:p w14:paraId="3D6075F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360" w:lineRule="auto"/>
        <w:rPr>
          <w:rFonts w:hint="eastAsia" w:ascii="仿宋" w:hAnsi="仿宋" w:eastAsia="仿宋" w:cs="仿宋"/>
          <w:sz w:val="28"/>
          <w:szCs w:val="28"/>
          <w:highlight w:val="none"/>
        </w:rPr>
      </w:pPr>
    </w:p>
    <w:p w14:paraId="65BF2EAC">
      <w:pPr>
        <w:spacing w:line="36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36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36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36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36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360" w:lineRule="auto"/>
        <w:jc w:val="center"/>
        <w:textAlignment w:val="baseline"/>
        <w:rPr>
          <w:rFonts w:hint="eastAsia" w:ascii="仿宋" w:hAnsi="仿宋" w:eastAsia="仿宋" w:cs="仿宋"/>
          <w:sz w:val="28"/>
          <w:szCs w:val="28"/>
          <w:highlight w:val="none"/>
        </w:rPr>
      </w:pPr>
    </w:p>
    <w:p w14:paraId="2C0AEB31">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360" w:lineRule="auto"/>
        <w:jc w:val="left"/>
        <w:rPr>
          <w:rFonts w:hint="eastAsia" w:ascii="仿宋" w:hAnsi="仿宋" w:eastAsia="仿宋" w:cs="仿宋"/>
          <w:sz w:val="28"/>
          <w:szCs w:val="28"/>
          <w:highlight w:val="none"/>
        </w:rPr>
      </w:pPr>
    </w:p>
    <w:p w14:paraId="209E92D0">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360" w:lineRule="auto"/>
        <w:jc w:val="left"/>
        <w:rPr>
          <w:rFonts w:hint="eastAsia" w:ascii="仿宋" w:hAnsi="仿宋" w:eastAsia="仿宋" w:cs="仿宋"/>
          <w:sz w:val="28"/>
          <w:szCs w:val="28"/>
          <w:highlight w:val="none"/>
        </w:rPr>
      </w:pPr>
    </w:p>
    <w:p w14:paraId="04ECA53F">
      <w:pPr>
        <w:spacing w:line="36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360" w:lineRule="auto"/>
        <w:jc w:val="left"/>
        <w:rPr>
          <w:rFonts w:hint="eastAsia" w:ascii="仿宋" w:hAnsi="仿宋" w:eastAsia="仿宋" w:cs="仿宋"/>
          <w:sz w:val="28"/>
          <w:szCs w:val="28"/>
          <w:highlight w:val="none"/>
        </w:rPr>
      </w:pPr>
    </w:p>
    <w:p w14:paraId="1E3A3A4D">
      <w:pPr>
        <w:spacing w:line="36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36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36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36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36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36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36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360" w:lineRule="auto"/>
        <w:jc w:val="left"/>
        <w:rPr>
          <w:rFonts w:hint="eastAsia" w:ascii="仿宋" w:hAnsi="仿宋" w:eastAsia="仿宋" w:cs="仿宋"/>
          <w:sz w:val="28"/>
          <w:szCs w:val="28"/>
          <w:highlight w:val="none"/>
        </w:rPr>
      </w:pPr>
    </w:p>
    <w:p w14:paraId="5C3DA791">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1E5FF20">
      <w:pPr>
        <w:spacing w:line="360" w:lineRule="auto"/>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360" w:lineRule="auto"/>
        <w:jc w:val="left"/>
        <w:rPr>
          <w:rFonts w:hint="eastAsia" w:ascii="仿宋" w:hAnsi="仿宋" w:eastAsia="仿宋" w:cs="仿宋"/>
          <w:sz w:val="28"/>
          <w:szCs w:val="28"/>
          <w:highlight w:val="none"/>
        </w:rPr>
      </w:pPr>
    </w:p>
    <w:p w14:paraId="0292747B">
      <w:pPr>
        <w:spacing w:line="360" w:lineRule="auto"/>
        <w:jc w:val="left"/>
        <w:rPr>
          <w:rFonts w:hint="eastAsia" w:ascii="仿宋" w:hAnsi="仿宋" w:eastAsia="仿宋" w:cs="仿宋"/>
          <w:sz w:val="28"/>
          <w:szCs w:val="28"/>
          <w:highlight w:val="none"/>
        </w:rPr>
      </w:pPr>
    </w:p>
    <w:p w14:paraId="2BCE953C">
      <w:pPr>
        <w:spacing w:line="360" w:lineRule="auto"/>
        <w:jc w:val="left"/>
        <w:rPr>
          <w:rFonts w:hint="eastAsia" w:ascii="仿宋" w:hAnsi="仿宋" w:eastAsia="仿宋" w:cs="仿宋"/>
          <w:sz w:val="28"/>
          <w:szCs w:val="28"/>
          <w:highlight w:val="none"/>
        </w:rPr>
      </w:pPr>
    </w:p>
    <w:p w14:paraId="1AA6B7A6">
      <w:pPr>
        <w:spacing w:line="360" w:lineRule="auto"/>
        <w:jc w:val="left"/>
        <w:rPr>
          <w:rFonts w:hint="eastAsia" w:ascii="仿宋" w:hAnsi="仿宋" w:eastAsia="仿宋" w:cs="仿宋"/>
          <w:sz w:val="28"/>
          <w:szCs w:val="28"/>
          <w:highlight w:val="none"/>
        </w:rPr>
      </w:pPr>
    </w:p>
    <w:p w14:paraId="7CF86166">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360" w:lineRule="auto"/>
        <w:jc w:val="left"/>
        <w:rPr>
          <w:rFonts w:hint="eastAsia" w:ascii="仿宋" w:hAnsi="仿宋" w:eastAsia="仿宋" w:cs="仿宋"/>
          <w:sz w:val="28"/>
          <w:szCs w:val="28"/>
          <w:highlight w:val="none"/>
        </w:rPr>
      </w:pPr>
    </w:p>
    <w:p w14:paraId="6B3DF881">
      <w:pPr>
        <w:spacing w:line="360" w:lineRule="auto"/>
        <w:jc w:val="left"/>
        <w:rPr>
          <w:rFonts w:hint="eastAsia" w:ascii="仿宋" w:hAnsi="仿宋" w:eastAsia="仿宋" w:cs="仿宋"/>
          <w:sz w:val="28"/>
          <w:szCs w:val="28"/>
          <w:highlight w:val="none"/>
        </w:rPr>
      </w:pPr>
    </w:p>
    <w:p w14:paraId="76F75CA5">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16"/>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40"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40" w:lineRule="auto"/>
        <w:rPr>
          <w:rFonts w:hint="eastAsia" w:ascii="仿宋" w:hAnsi="仿宋" w:eastAsia="仿宋" w:cs="仿宋"/>
          <w:sz w:val="24"/>
          <w:szCs w:val="24"/>
          <w:highlight w:val="none"/>
        </w:rPr>
      </w:pPr>
    </w:p>
    <w:p w14:paraId="522AA588">
      <w:pPr>
        <w:pStyle w:val="4"/>
        <w:spacing w:before="65" w:line="240"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240"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240"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24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4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4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4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40" w:lineRule="auto"/>
        <w:ind w:left="39"/>
        <w:rPr>
          <w:rFonts w:hint="eastAsia" w:ascii="仿宋" w:hAnsi="仿宋" w:eastAsia="仿宋" w:cs="仿宋"/>
          <w:spacing w:val="5"/>
          <w:sz w:val="24"/>
          <w:szCs w:val="24"/>
          <w:highlight w:val="none"/>
        </w:rPr>
      </w:pPr>
    </w:p>
    <w:p w14:paraId="27CB34E9">
      <w:pPr>
        <w:pStyle w:val="4"/>
        <w:spacing w:before="65" w:line="24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40"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40"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36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bookmarkEnd w:id="3"/>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2BF6819"/>
    <w:rsid w:val="03004097"/>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3364A1"/>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3D43D4"/>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6576FC"/>
    <w:rsid w:val="257E7E31"/>
    <w:rsid w:val="27A110F5"/>
    <w:rsid w:val="27B23302"/>
    <w:rsid w:val="281C3D2E"/>
    <w:rsid w:val="28550A37"/>
    <w:rsid w:val="286745BE"/>
    <w:rsid w:val="286D4544"/>
    <w:rsid w:val="28992513"/>
    <w:rsid w:val="289F0154"/>
    <w:rsid w:val="2A431944"/>
    <w:rsid w:val="2A643BFE"/>
    <w:rsid w:val="2A936DFF"/>
    <w:rsid w:val="2B0C4378"/>
    <w:rsid w:val="2B110340"/>
    <w:rsid w:val="2B116592"/>
    <w:rsid w:val="2B1B7EB7"/>
    <w:rsid w:val="2B271DDB"/>
    <w:rsid w:val="2B55240C"/>
    <w:rsid w:val="2B5C51D1"/>
    <w:rsid w:val="2B70280F"/>
    <w:rsid w:val="2B856311"/>
    <w:rsid w:val="2C020344"/>
    <w:rsid w:val="2C9635B1"/>
    <w:rsid w:val="2CC73EBB"/>
    <w:rsid w:val="2CC82C80"/>
    <w:rsid w:val="2CE65BE8"/>
    <w:rsid w:val="2D0D151B"/>
    <w:rsid w:val="2D2113F9"/>
    <w:rsid w:val="2D2E54AB"/>
    <w:rsid w:val="2D5533FD"/>
    <w:rsid w:val="2D88240F"/>
    <w:rsid w:val="2D9D1FA4"/>
    <w:rsid w:val="2DFC3F11"/>
    <w:rsid w:val="2E5171F3"/>
    <w:rsid w:val="2E6B532D"/>
    <w:rsid w:val="2EBA1F6D"/>
    <w:rsid w:val="2ED300D8"/>
    <w:rsid w:val="2ED565A3"/>
    <w:rsid w:val="2EDC2A13"/>
    <w:rsid w:val="2EEB4016"/>
    <w:rsid w:val="2F863B55"/>
    <w:rsid w:val="2F9017B9"/>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16976FE"/>
    <w:rsid w:val="42044C81"/>
    <w:rsid w:val="42915828"/>
    <w:rsid w:val="439F76B3"/>
    <w:rsid w:val="43C95804"/>
    <w:rsid w:val="44864AA0"/>
    <w:rsid w:val="44A66E7C"/>
    <w:rsid w:val="44BC6AA8"/>
    <w:rsid w:val="44E26E48"/>
    <w:rsid w:val="44FA5A84"/>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5F4E99"/>
    <w:rsid w:val="4A751D13"/>
    <w:rsid w:val="4ACB3DE1"/>
    <w:rsid w:val="4BAC561A"/>
    <w:rsid w:val="4C0439C1"/>
    <w:rsid w:val="4D915781"/>
    <w:rsid w:val="4D9C1893"/>
    <w:rsid w:val="4DB94ADB"/>
    <w:rsid w:val="4E4966F7"/>
    <w:rsid w:val="4E5D3C82"/>
    <w:rsid w:val="4E605D05"/>
    <w:rsid w:val="4EAC6863"/>
    <w:rsid w:val="4EFD4238"/>
    <w:rsid w:val="4EFD777B"/>
    <w:rsid w:val="4F034298"/>
    <w:rsid w:val="4F4026F2"/>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200FFC"/>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7CA51B2"/>
    <w:rsid w:val="58111172"/>
    <w:rsid w:val="585C49E5"/>
    <w:rsid w:val="586A599C"/>
    <w:rsid w:val="586F0457"/>
    <w:rsid w:val="58957303"/>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700A55"/>
    <w:rsid w:val="63832939"/>
    <w:rsid w:val="63C30428"/>
    <w:rsid w:val="63D22876"/>
    <w:rsid w:val="63D47C8E"/>
    <w:rsid w:val="63F05E0D"/>
    <w:rsid w:val="64137491"/>
    <w:rsid w:val="6435147D"/>
    <w:rsid w:val="64697AA1"/>
    <w:rsid w:val="649E5D3C"/>
    <w:rsid w:val="64EA4CE8"/>
    <w:rsid w:val="65107E6C"/>
    <w:rsid w:val="653C4D87"/>
    <w:rsid w:val="6580104F"/>
    <w:rsid w:val="659D3354"/>
    <w:rsid w:val="65EA2548"/>
    <w:rsid w:val="66106E6A"/>
    <w:rsid w:val="6646550E"/>
    <w:rsid w:val="66B249E4"/>
    <w:rsid w:val="66C43787"/>
    <w:rsid w:val="67ED4707"/>
    <w:rsid w:val="684A0189"/>
    <w:rsid w:val="695569BF"/>
    <w:rsid w:val="696C7ACD"/>
    <w:rsid w:val="69D81B09"/>
    <w:rsid w:val="69F866F7"/>
    <w:rsid w:val="69FB553B"/>
    <w:rsid w:val="6A05798A"/>
    <w:rsid w:val="6A2551A9"/>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B82CA5"/>
    <w:rsid w:val="7BE96BEE"/>
    <w:rsid w:val="7BEB172F"/>
    <w:rsid w:val="7BF03249"/>
    <w:rsid w:val="7CBB304B"/>
    <w:rsid w:val="7CFF1CEC"/>
    <w:rsid w:val="7D0568EF"/>
    <w:rsid w:val="7D0A4AE8"/>
    <w:rsid w:val="7D173ACC"/>
    <w:rsid w:val="7D1B55A6"/>
    <w:rsid w:val="7D966739"/>
    <w:rsid w:val="7DA270F0"/>
    <w:rsid w:val="7E2E1391"/>
    <w:rsid w:val="7E38577E"/>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10831</Words>
  <Characters>11582</Characters>
  <Lines>83</Lines>
  <Paragraphs>23</Paragraphs>
  <TotalTime>22</TotalTime>
  <ScaleCrop>false</ScaleCrop>
  <LinksUpToDate>false</LinksUpToDate>
  <CharactersWithSpaces>12509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2026-04-10T08:21:20Z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