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E32DC">
      <w:pPr>
        <w:widowControl/>
        <w:shd w:val="clear" w:color="auto" w:fill="FFFFFF"/>
        <w:snapToGrid w:val="0"/>
        <w:spacing w:line="540" w:lineRule="exact"/>
        <w:jc w:val="center"/>
        <w:rPr>
          <w:rFonts w:hint="eastAsia" w:ascii="仿宋" w:hAnsi="仿宋" w:eastAsia="仿宋" w:cs="仿宋"/>
          <w:b/>
          <w:bCs/>
          <w:kern w:val="0"/>
          <w:sz w:val="36"/>
          <w:szCs w:val="36"/>
          <w:lang w:eastAsia="zh-CN"/>
        </w:rPr>
      </w:pPr>
      <w:r>
        <w:rPr>
          <w:rFonts w:hint="eastAsia" w:ascii="仿宋" w:hAnsi="仿宋" w:eastAsia="仿宋" w:cs="仿宋"/>
          <w:b/>
          <w:bCs/>
          <w:kern w:val="0"/>
          <w:sz w:val="36"/>
          <w:szCs w:val="36"/>
        </w:rPr>
        <w:t>常温特通业务部</w:t>
      </w:r>
      <w:r>
        <w:rPr>
          <w:rFonts w:hint="eastAsia" w:ascii="仿宋" w:hAnsi="仿宋" w:eastAsia="仿宋" w:cs="仿宋"/>
          <w:b/>
          <w:bCs/>
          <w:kern w:val="0"/>
          <w:sz w:val="36"/>
          <w:szCs w:val="36"/>
          <w:lang w:val="en-US" w:eastAsia="zh-CN"/>
        </w:rPr>
        <w:t>整车、零担</w:t>
      </w:r>
      <w:r>
        <w:rPr>
          <w:rFonts w:hint="eastAsia" w:ascii="仿宋" w:hAnsi="仿宋" w:eastAsia="仿宋" w:cs="仿宋"/>
          <w:b/>
          <w:bCs/>
          <w:kern w:val="0"/>
          <w:sz w:val="36"/>
          <w:szCs w:val="36"/>
        </w:rPr>
        <w:t>配送采招项目公告</w:t>
      </w:r>
    </w:p>
    <w:p w14:paraId="5F7074BC">
      <w:pPr>
        <w:adjustRightInd w:val="0"/>
        <w:snapToGrid w:val="0"/>
        <w:spacing w:line="360" w:lineRule="auto"/>
        <w:ind w:firstLine="600" w:firstLineChars="200"/>
        <w:rPr>
          <w:rFonts w:hint="eastAsia" w:ascii="仿宋" w:hAnsi="仿宋" w:eastAsia="仿宋" w:cs="仿宋"/>
          <w:bCs/>
          <w:kern w:val="0"/>
          <w:sz w:val="30"/>
          <w:szCs w:val="30"/>
        </w:rPr>
      </w:pPr>
    </w:p>
    <w:p w14:paraId="298D4736">
      <w:pPr>
        <w:adjustRightInd w:val="0"/>
        <w:snapToGrid w:val="0"/>
        <w:spacing w:line="360" w:lineRule="auto"/>
        <w:ind w:firstLine="600" w:firstLineChars="200"/>
        <w:rPr>
          <w:rFonts w:hint="eastAsia" w:ascii="仿宋" w:hAnsi="仿宋" w:eastAsia="仿宋" w:cs="仿宋"/>
          <w:bCs/>
          <w:kern w:val="0"/>
          <w:sz w:val="30"/>
          <w:szCs w:val="30"/>
          <w:lang w:eastAsia="zh-CN"/>
        </w:rPr>
      </w:pPr>
      <w:r>
        <w:rPr>
          <w:rFonts w:hint="eastAsia" w:ascii="仿宋" w:hAnsi="仿宋" w:eastAsia="仿宋" w:cs="仿宋"/>
          <w:bCs/>
          <w:kern w:val="0"/>
          <w:sz w:val="30"/>
          <w:szCs w:val="30"/>
        </w:rPr>
        <w:t>内蒙古蒙牛乳业（集团）股份有限公司采购中心就常温</w:t>
      </w:r>
      <w:r>
        <w:rPr>
          <w:rFonts w:hint="eastAsia" w:ascii="仿宋" w:hAnsi="仿宋" w:eastAsia="仿宋" w:cs="仿宋"/>
          <w:bCs/>
          <w:kern w:val="0"/>
          <w:sz w:val="30"/>
          <w:szCs w:val="30"/>
          <w:lang w:val="en-US" w:eastAsia="zh-CN"/>
        </w:rPr>
        <w:t>特通业务部</w:t>
      </w:r>
      <w:r>
        <w:rPr>
          <w:rFonts w:hint="eastAsia" w:ascii="仿宋" w:hAnsi="仿宋" w:eastAsia="仿宋" w:cs="仿宋"/>
          <w:bCs/>
          <w:kern w:val="0"/>
          <w:sz w:val="30"/>
          <w:szCs w:val="30"/>
        </w:rPr>
        <w:t>配送采招项目进</w:t>
      </w:r>
      <w:bookmarkStart w:id="0" w:name="OLE_LINK9"/>
      <w:bookmarkStart w:id="1" w:name="OLE_LINK10"/>
      <w:r>
        <w:rPr>
          <w:rFonts w:hint="eastAsia" w:ascii="仿宋" w:hAnsi="仿宋" w:eastAsia="仿宋" w:cs="仿宋"/>
          <w:bCs/>
          <w:kern w:val="0"/>
          <w:sz w:val="30"/>
          <w:szCs w:val="30"/>
        </w:rPr>
        <w:t>行询比价,欢迎符合资格条件的供应商参加。</w:t>
      </w:r>
    </w:p>
    <w:p w14:paraId="0BA84C0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项目编号</w:t>
      </w:r>
      <w:bookmarkEnd w:id="0"/>
      <w:bookmarkEnd w:id="1"/>
      <w:r>
        <w:rPr>
          <w:rFonts w:hint="eastAsia" w:ascii="仿宋" w:hAnsi="仿宋" w:eastAsia="仿宋" w:cs="仿宋"/>
          <w:bCs/>
          <w:kern w:val="0"/>
          <w:sz w:val="30"/>
          <w:szCs w:val="30"/>
        </w:rPr>
        <w:t>：</w:t>
      </w:r>
    </w:p>
    <w:p w14:paraId="6FF3B60D">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二、项目名称：常温</w:t>
      </w:r>
      <w:r>
        <w:rPr>
          <w:rFonts w:hint="eastAsia" w:ascii="仿宋" w:hAnsi="仿宋" w:eastAsia="仿宋" w:cs="仿宋"/>
          <w:bCs/>
          <w:kern w:val="0"/>
          <w:sz w:val="30"/>
          <w:szCs w:val="30"/>
          <w:lang w:val="en-US" w:eastAsia="zh-CN"/>
        </w:rPr>
        <w:t>特通业务部整车、零担</w:t>
      </w:r>
      <w:r>
        <w:rPr>
          <w:rFonts w:hint="eastAsia" w:ascii="仿宋" w:hAnsi="仿宋" w:eastAsia="仿宋" w:cs="仿宋"/>
          <w:bCs/>
          <w:kern w:val="0"/>
          <w:sz w:val="30"/>
          <w:szCs w:val="30"/>
        </w:rPr>
        <w:t>配送采招项目</w:t>
      </w:r>
    </w:p>
    <w:p w14:paraId="49454474">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三、项目概况：</w:t>
      </w:r>
    </w:p>
    <w:p w14:paraId="3BBE7BE6">
      <w:pPr>
        <w:adjustRightInd w:val="0"/>
        <w:snapToGrid w:val="0"/>
        <w:spacing w:line="360" w:lineRule="auto"/>
        <w:ind w:firstLine="600" w:firstLineChars="200"/>
        <w:rPr>
          <w:rFonts w:hint="eastAsia" w:ascii="仿宋" w:hAnsi="仿宋" w:eastAsia="仿宋" w:cs="仿宋"/>
          <w:bCs/>
          <w:color w:val="FF0000"/>
          <w:kern w:val="0"/>
          <w:sz w:val="30"/>
          <w:szCs w:val="30"/>
          <w:lang w:val="en-US" w:eastAsia="zh-CN"/>
        </w:rPr>
      </w:pPr>
      <w:r>
        <w:rPr>
          <w:rFonts w:hint="eastAsia" w:ascii="仿宋" w:hAnsi="仿宋" w:eastAsia="仿宋" w:cs="仿宋"/>
          <w:bCs/>
          <w:kern w:val="0"/>
          <w:sz w:val="30"/>
          <w:szCs w:val="30"/>
        </w:rPr>
        <w:t>1、项目简介：本项目主要针对常温</w:t>
      </w:r>
      <w:r>
        <w:rPr>
          <w:rFonts w:hint="eastAsia" w:ascii="仿宋" w:hAnsi="仿宋" w:eastAsia="仿宋" w:cs="仿宋"/>
          <w:bCs/>
          <w:kern w:val="0"/>
          <w:sz w:val="30"/>
          <w:szCs w:val="30"/>
          <w:lang w:val="en-US" w:eastAsia="zh-CN"/>
        </w:rPr>
        <w:t>特通业务部</w:t>
      </w:r>
      <w:r>
        <w:rPr>
          <w:rFonts w:hint="eastAsia" w:ascii="仿宋" w:hAnsi="仿宋" w:eastAsia="仿宋" w:cs="仿宋"/>
          <w:bCs/>
          <w:kern w:val="0"/>
          <w:sz w:val="30"/>
          <w:szCs w:val="30"/>
        </w:rPr>
        <w:t>配送资源进行采购，主要</w:t>
      </w:r>
      <w:r>
        <w:rPr>
          <w:rFonts w:hint="eastAsia" w:ascii="仿宋" w:hAnsi="仿宋" w:eastAsia="仿宋" w:cs="仿宋"/>
          <w:bCs/>
          <w:kern w:val="0"/>
          <w:sz w:val="30"/>
          <w:szCs w:val="30"/>
          <w:lang w:eastAsia="zh-CN"/>
        </w:rPr>
        <w:t>业务</w:t>
      </w:r>
      <w:r>
        <w:rPr>
          <w:rFonts w:hint="eastAsia" w:ascii="仿宋" w:hAnsi="仿宋" w:eastAsia="仿宋" w:cs="仿宋"/>
          <w:bCs/>
          <w:kern w:val="0"/>
          <w:sz w:val="30"/>
          <w:szCs w:val="30"/>
        </w:rPr>
        <w:t>包括</w:t>
      </w:r>
      <w:r>
        <w:rPr>
          <w:rFonts w:hint="default" w:ascii="仿宋" w:hAnsi="仿宋" w:eastAsia="仿宋" w:cs="仿宋"/>
          <w:bCs/>
          <w:color w:val="FF0000"/>
          <w:kern w:val="0"/>
          <w:sz w:val="30"/>
          <w:szCs w:val="30"/>
          <w:lang w:val="en-US" w:eastAsia="zh-CN"/>
        </w:rPr>
        <w:t>全国范围内整车、零担发运及装卸等服务</w:t>
      </w:r>
      <w:r>
        <w:rPr>
          <w:rFonts w:hint="eastAsia" w:ascii="仿宋" w:hAnsi="仿宋" w:eastAsia="仿宋" w:cs="仿宋"/>
          <w:bCs/>
          <w:color w:val="FF0000"/>
          <w:kern w:val="0"/>
          <w:sz w:val="30"/>
          <w:szCs w:val="30"/>
          <w:lang w:val="en-US" w:eastAsia="zh-CN"/>
        </w:rPr>
        <w:t>。</w:t>
      </w:r>
    </w:p>
    <w:p w14:paraId="279FF88A">
      <w:pPr>
        <w:adjustRightInd w:val="0"/>
        <w:snapToGrid w:val="0"/>
        <w:spacing w:line="360" w:lineRule="auto"/>
        <w:ind w:firstLine="600" w:firstLineChars="200"/>
        <w:rPr>
          <w:rFonts w:hint="eastAsia" w:ascii="仿宋" w:hAnsi="仿宋" w:eastAsia="仿宋" w:cs="仿宋"/>
          <w:bCs/>
          <w:color w:val="FF0000"/>
          <w:kern w:val="0"/>
          <w:sz w:val="30"/>
          <w:szCs w:val="30"/>
          <w:lang w:val="en-US" w:eastAsia="zh-CN"/>
        </w:rPr>
      </w:pPr>
      <w:r>
        <w:rPr>
          <w:rFonts w:hint="eastAsia" w:ascii="仿宋" w:hAnsi="仿宋" w:eastAsia="仿宋" w:cs="仿宋"/>
          <w:bCs/>
          <w:color w:val="FF0000"/>
          <w:kern w:val="0"/>
          <w:sz w:val="30"/>
          <w:szCs w:val="30"/>
          <w:lang w:val="en-US" w:eastAsia="zh-CN"/>
        </w:rPr>
        <w:t>零担运输业务：特通直营业务部指定发货仓不足起运量或跨省发运等情况下将商品送达客户收货处的配送服务；</w:t>
      </w:r>
    </w:p>
    <w:p w14:paraId="253EF4FA">
      <w:pPr>
        <w:adjustRightInd w:val="0"/>
        <w:snapToGrid w:val="0"/>
        <w:spacing w:line="360" w:lineRule="auto"/>
        <w:ind w:firstLine="600" w:firstLineChars="200"/>
        <w:rPr>
          <w:rFonts w:hint="eastAsia" w:ascii="仿宋" w:hAnsi="仿宋" w:eastAsia="仿宋" w:cs="仿宋"/>
          <w:bCs/>
          <w:color w:val="FF0000"/>
          <w:kern w:val="0"/>
          <w:sz w:val="30"/>
          <w:szCs w:val="30"/>
          <w:lang w:val="en-US" w:eastAsia="zh-CN"/>
        </w:rPr>
      </w:pPr>
      <w:r>
        <w:rPr>
          <w:rFonts w:hint="eastAsia" w:ascii="仿宋" w:hAnsi="仿宋" w:eastAsia="仿宋" w:cs="仿宋"/>
          <w:bCs/>
          <w:color w:val="FF0000"/>
          <w:kern w:val="0"/>
          <w:sz w:val="30"/>
          <w:szCs w:val="30"/>
          <w:lang w:val="en-US" w:eastAsia="zh-CN"/>
        </w:rPr>
        <w:t>整车运输业务；因大宗商品运输或者客户对运输时效、质量等有特殊要求，将商品从特通直营业务部指定发货仓直接送达客户收货处的配送服务；</w:t>
      </w:r>
    </w:p>
    <w:p w14:paraId="1D68B75D">
      <w:pPr>
        <w:adjustRightInd w:val="0"/>
        <w:snapToGrid w:val="0"/>
        <w:spacing w:line="360" w:lineRule="auto"/>
        <w:ind w:firstLine="600" w:firstLineChars="200"/>
        <w:rPr>
          <w:rFonts w:hint="eastAsia" w:ascii="仿宋" w:hAnsi="仿宋" w:eastAsia="仿宋" w:cs="仿宋"/>
          <w:bCs/>
          <w:color w:val="FF0000"/>
          <w:kern w:val="0"/>
          <w:sz w:val="30"/>
          <w:szCs w:val="30"/>
          <w:lang w:val="en-US" w:eastAsia="zh-CN"/>
        </w:rPr>
      </w:pPr>
      <w:r>
        <w:rPr>
          <w:rFonts w:hint="eastAsia" w:ascii="仿宋" w:hAnsi="仿宋" w:eastAsia="仿宋" w:cs="仿宋"/>
          <w:bCs/>
          <w:color w:val="FF0000"/>
          <w:kern w:val="0"/>
          <w:sz w:val="30"/>
          <w:szCs w:val="30"/>
          <w:lang w:val="en-US" w:eastAsia="zh-CN"/>
        </w:rPr>
        <w:t>装卸服务：根据实际的业务需要，按照特通直营业务部要求提供出库装车、到货卸车服务；</w:t>
      </w:r>
    </w:p>
    <w:p w14:paraId="40AE0830">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2、合同签订周期：</w:t>
      </w:r>
      <w:r>
        <w:rPr>
          <w:rFonts w:hint="eastAsia" w:ascii="仿宋" w:hAnsi="仿宋" w:eastAsia="仿宋" w:cs="仿宋"/>
          <w:bCs/>
          <w:kern w:val="0"/>
          <w:sz w:val="30"/>
          <w:szCs w:val="30"/>
          <w:lang w:val="en-US" w:eastAsia="zh-CN"/>
        </w:rPr>
        <w:t>二十四个月</w:t>
      </w:r>
      <w:r>
        <w:rPr>
          <w:rFonts w:hint="eastAsia" w:ascii="仿宋" w:hAnsi="仿宋" w:eastAsia="仿宋" w:cs="仿宋"/>
          <w:bCs/>
          <w:kern w:val="0"/>
          <w:sz w:val="30"/>
          <w:szCs w:val="30"/>
        </w:rPr>
        <w:t>，自合同签订之日起计算。</w:t>
      </w:r>
    </w:p>
    <w:p w14:paraId="7B497D9C">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四、资格要求：</w:t>
      </w:r>
    </w:p>
    <w:p w14:paraId="1ED1BFA6">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1、投标方须在中华人民共和国境内注册并具有独立法人资格，具有</w:t>
      </w:r>
      <w:bookmarkStart w:id="2" w:name="_Hlk60831646"/>
      <w:r>
        <w:rPr>
          <w:rFonts w:hint="eastAsia" w:ascii="仿宋" w:hAnsi="仿宋" w:eastAsia="仿宋" w:cs="仿宋"/>
          <w:bCs/>
          <w:kern w:val="0"/>
          <w:sz w:val="30"/>
          <w:szCs w:val="30"/>
        </w:rPr>
        <w:t>有效的</w:t>
      </w:r>
      <w:bookmarkStart w:id="3" w:name="OLE_LINK95"/>
      <w:bookmarkStart w:id="4" w:name="OLE_LINK94"/>
      <w:r>
        <w:rPr>
          <w:rFonts w:hint="eastAsia" w:ascii="仿宋" w:hAnsi="仿宋" w:eastAsia="仿宋" w:cs="仿宋"/>
          <w:bCs/>
          <w:kern w:val="0"/>
          <w:sz w:val="30"/>
          <w:szCs w:val="30"/>
        </w:rPr>
        <w:t>营业执照</w:t>
      </w:r>
      <w:bookmarkEnd w:id="2"/>
      <w:bookmarkEnd w:id="3"/>
      <w:bookmarkEnd w:id="4"/>
      <w:r>
        <w:rPr>
          <w:rFonts w:hint="eastAsia" w:ascii="仿宋" w:hAnsi="仿宋" w:eastAsia="仿宋" w:cs="仿宋"/>
          <w:bCs/>
          <w:kern w:val="0"/>
          <w:sz w:val="30"/>
          <w:szCs w:val="30"/>
        </w:rPr>
        <w:t>；</w:t>
      </w:r>
    </w:p>
    <w:p w14:paraId="0B2F8004">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2、竞谈人近两年须具有一个及以上食品物流运输业务类似项目业绩（以合同为准）；</w:t>
      </w:r>
    </w:p>
    <w:p w14:paraId="4A3D2892">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3、投标方须具有有效的道路运输经营许可证；</w:t>
      </w:r>
    </w:p>
    <w:p w14:paraId="23E627B3">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4、投标方具有一般纳税人资格，能开具增值税专用发票（提供相关证明材料）；</w:t>
      </w:r>
    </w:p>
    <w:p w14:paraId="2591E69C">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5、投标人未被列入国家企业信用信息公示系统（http://www.gsxt.gov.cn/index.html）严重+违法失信企业名单</w:t>
      </w:r>
    </w:p>
    <w:p w14:paraId="7E328E2F">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6、与采购人存在利害关系可能影响采购招标公正性的法人、其他组织或者个人，不得参加投标；单位负责人为同一人或者存在控股、管理关系的不同单位，不得参加同一标段投标或者未划分标段的同一招标项目投标；存在以上情况的，在通过资格预审的情况下，允许最先报名的竞价方参与竞争；</w:t>
      </w:r>
    </w:p>
    <w:p w14:paraId="65DFCDDB">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7、本次询比价不接受多家单位联合报价，不允许分包或转包。</w:t>
      </w:r>
    </w:p>
    <w:p w14:paraId="5C09E40D">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8、不接受中粮及蒙牛供应商黑名单（以蒙牛集团采购执行管理部下发的黑名单为准）的企业参与竞争；</w:t>
      </w:r>
    </w:p>
    <w:p w14:paraId="59945A0B">
      <w:pPr>
        <w:pStyle w:val="2"/>
        <w:rPr>
          <w:rFonts w:hint="eastAsia" w:eastAsia="仿宋"/>
          <w:color w:val="auto"/>
          <w:lang w:val="en-US" w:eastAsia="zh-CN"/>
        </w:rPr>
      </w:pPr>
      <w:r>
        <w:rPr>
          <w:rFonts w:hint="eastAsia" w:ascii="仿宋" w:hAnsi="仿宋" w:eastAsia="仿宋" w:cs="仿宋"/>
          <w:bCs/>
          <w:color w:val="auto"/>
          <w:kern w:val="0"/>
          <w:sz w:val="30"/>
          <w:szCs w:val="30"/>
          <w:lang w:val="en-US" w:eastAsia="zh-CN"/>
        </w:rPr>
        <w:t>9</w:t>
      </w:r>
      <w:r>
        <w:rPr>
          <w:rFonts w:hint="eastAsia" w:ascii="仿宋" w:hAnsi="仿宋" w:eastAsia="仿宋" w:cs="仿宋"/>
          <w:bCs/>
          <w:color w:val="auto"/>
          <w:kern w:val="0"/>
          <w:sz w:val="30"/>
          <w:szCs w:val="30"/>
        </w:rPr>
        <w:t>、</w:t>
      </w:r>
      <w:r>
        <w:rPr>
          <w:rFonts w:hint="eastAsia" w:ascii="仿宋" w:hAnsi="仿宋" w:eastAsia="仿宋" w:cs="仿宋"/>
          <w:color w:val="auto"/>
          <w:sz w:val="30"/>
          <w:szCs w:val="30"/>
        </w:rPr>
        <w:t>本次招标不接受联合体投标，不允许分包或转包。</w:t>
      </w:r>
    </w:p>
    <w:p w14:paraId="72CE9023">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五、报名须知</w:t>
      </w:r>
    </w:p>
    <w:p w14:paraId="14CF8A01">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（一）报名资格文件（组成及顺序按照如下要求提供）： </w:t>
      </w:r>
    </w:p>
    <w:p w14:paraId="71A4338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1、</w:t>
      </w:r>
      <w:bookmarkStart w:id="5" w:name="OLE_LINK96"/>
      <w:r>
        <w:rPr>
          <w:rFonts w:hint="eastAsia" w:ascii="仿宋" w:hAnsi="仿宋" w:eastAsia="仿宋" w:cs="仿宋"/>
          <w:bCs/>
          <w:kern w:val="0"/>
          <w:sz w:val="30"/>
          <w:szCs w:val="30"/>
        </w:rPr>
        <w:t>营业执照副本、税务登记证副本、组织机构代码证副本（多证合一提供营业执照副本）复印件以及开户行信息并加盖公章</w:t>
      </w:r>
      <w:bookmarkEnd w:id="5"/>
      <w:r>
        <w:rPr>
          <w:rFonts w:hint="eastAsia" w:ascii="仿宋" w:hAnsi="仿宋" w:eastAsia="仿宋" w:cs="仿宋"/>
          <w:bCs/>
          <w:kern w:val="0"/>
          <w:sz w:val="30"/>
          <w:szCs w:val="30"/>
        </w:rPr>
        <w:t>；</w:t>
      </w:r>
    </w:p>
    <w:p w14:paraId="1E03911A">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2、报名信息确认表（附件1）</w:t>
      </w:r>
    </w:p>
    <w:p w14:paraId="1A5D2943">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3、法定代表人证明书或授权委托书（附件2）；</w:t>
      </w:r>
    </w:p>
    <w:p w14:paraId="46284C18">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备注：如果法定代表人报名，请附法定代表人身份证明书及身份证信息，如果被授权委托人报名，请附授权委托书原件及身份证信息，另外，需提供被授权委托人在本单位2025年任意三个月社保缴纳的证明文件；</w:t>
      </w:r>
    </w:p>
    <w:p w14:paraId="14B38132">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4、能开具9%增值税发票的资格，提供9%增值税发票各一张以及一般纳税人认定资格证明材料；</w:t>
      </w:r>
    </w:p>
    <w:p w14:paraId="4B1C9866">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5、提供本企业2024或202</w:t>
      </w:r>
      <w:r>
        <w:rPr>
          <w:rFonts w:hint="eastAsia" w:ascii="仿宋" w:hAnsi="仿宋" w:eastAsia="仿宋" w:cs="仿宋"/>
          <w:bCs/>
          <w:kern w:val="0"/>
          <w:sz w:val="30"/>
          <w:szCs w:val="30"/>
          <w:lang w:val="en-US" w:eastAsia="zh-CN"/>
        </w:rPr>
        <w:t>5</w:t>
      </w:r>
      <w:r>
        <w:rPr>
          <w:rFonts w:hint="eastAsia" w:ascii="仿宋" w:hAnsi="仿宋" w:eastAsia="仿宋" w:cs="仿宋"/>
          <w:bCs/>
          <w:kern w:val="0"/>
          <w:sz w:val="30"/>
          <w:szCs w:val="30"/>
        </w:rPr>
        <w:t>年度财务报表或第三方财务审计报告（如提供的是年度财务报表则需同时提供税务系统线上截图或盖当地税务局公章的年度增值税纳税申报表）；</w:t>
      </w:r>
    </w:p>
    <w:p w14:paraId="498DB93E">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6、企业纳税证明材料：企业最近1年任意3个月的依法纳税证明材料；</w:t>
      </w:r>
    </w:p>
    <w:p w14:paraId="73E46065">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7、</w:t>
      </w:r>
      <w:bookmarkStart w:id="6" w:name="OLE_LINK97"/>
      <w:bookmarkStart w:id="7" w:name="OLE_LINK98"/>
      <w:r>
        <w:rPr>
          <w:rFonts w:hint="eastAsia" w:ascii="仿宋" w:hAnsi="仿宋" w:eastAsia="仿宋" w:cs="仿宋"/>
          <w:bCs/>
          <w:kern w:val="0"/>
          <w:sz w:val="30"/>
          <w:szCs w:val="30"/>
        </w:rPr>
        <w:t>项目参与供应商需要提供最近1年任意3个月的社保缴纳证明材料</w:t>
      </w:r>
      <w:bookmarkEnd w:id="6"/>
      <w:bookmarkEnd w:id="7"/>
      <w:r>
        <w:rPr>
          <w:rFonts w:hint="eastAsia" w:ascii="仿宋" w:hAnsi="仿宋" w:eastAsia="仿宋" w:cs="仿宋"/>
          <w:bCs/>
          <w:kern w:val="0"/>
          <w:sz w:val="30"/>
          <w:szCs w:val="30"/>
        </w:rPr>
        <w:t>；</w:t>
      </w:r>
    </w:p>
    <w:p w14:paraId="188778AC">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8、提供有效的道路运输许可证资质；</w:t>
      </w:r>
    </w:p>
    <w:p w14:paraId="4092912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9、提供近两年一个以上食品物流运输业务类似项目的证明材料（以合同为准）；</w:t>
      </w:r>
    </w:p>
    <w:p w14:paraId="2DF48EFD">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10、关于聘用蒙牛在职人员亲属（含特定关系人）及离职人员的告知函（附件4）</w:t>
      </w:r>
    </w:p>
    <w:p w14:paraId="65985A36">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11、提供失信企业名查询截图加盖公章，步骤参考【打开“国家企业信用信息公示系统”官网http://www.gsxt.gov.cn/index.html-输入单位名称-查询-再次</w:t>
      </w:r>
    </w:p>
    <w:p w14:paraId="5AA70941">
      <w:pPr>
        <w:adjustRightInd w:val="0"/>
        <w:snapToGrid w:val="0"/>
        <w:spacing w:line="360" w:lineRule="auto"/>
        <w:ind w:firstLine="600" w:firstLineChars="200"/>
        <w:rPr>
          <w:rFonts w:hint="default" w:ascii="仿宋" w:hAnsi="仿宋" w:eastAsia="仿宋" w:cs="仿宋"/>
          <w:bCs/>
          <w:color w:val="FF0000"/>
          <w:kern w:val="0"/>
          <w:sz w:val="30"/>
          <w:szCs w:val="30"/>
          <w:lang w:val="en-US" w:eastAsia="zh-CN"/>
        </w:rPr>
      </w:pPr>
      <w:r>
        <w:rPr>
          <w:rFonts w:hint="eastAsia" w:ascii="仿宋" w:hAnsi="仿宋" w:eastAsia="仿宋" w:cs="仿宋"/>
          <w:bCs/>
          <w:kern w:val="0"/>
          <w:sz w:val="30"/>
          <w:szCs w:val="30"/>
        </w:rPr>
        <w:t>12、</w:t>
      </w:r>
      <w:bookmarkStart w:id="8" w:name="OLE_LINK99"/>
      <w:bookmarkStart w:id="9" w:name="OLE_LINK100"/>
      <w:r>
        <w:rPr>
          <w:rFonts w:hint="eastAsia" w:ascii="仿宋" w:hAnsi="仿宋" w:eastAsia="仿宋" w:cs="仿宋"/>
          <w:bCs/>
          <w:kern w:val="0"/>
          <w:sz w:val="30"/>
          <w:szCs w:val="30"/>
        </w:rPr>
        <w:t>保密承诺书</w:t>
      </w:r>
      <w:bookmarkEnd w:id="8"/>
      <w:bookmarkEnd w:id="9"/>
      <w:r>
        <w:rPr>
          <w:rFonts w:hint="eastAsia" w:ascii="仿宋" w:hAnsi="仿宋" w:eastAsia="仿宋" w:cs="仿宋"/>
          <w:bCs/>
          <w:kern w:val="0"/>
          <w:sz w:val="30"/>
          <w:szCs w:val="30"/>
        </w:rPr>
        <w:t>（附件3）</w:t>
      </w:r>
    </w:p>
    <w:p w14:paraId="7406D782">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（二）签章要求</w:t>
      </w:r>
    </w:p>
    <w:p w14:paraId="0ADCDDE7">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提交材料要求盖章的必须是单位公章（负责人印章属于签字）。合同专用章、投标专用章、销售专用章等均视为无效。</w:t>
      </w:r>
    </w:p>
    <w:p w14:paraId="68EF660B">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（三）资格文件报送</w:t>
      </w:r>
    </w:p>
    <w:p w14:paraId="3E98BCF1">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资格文件需要在有效期内，提供签章扫描件，符合资质要求条件投标方均可报名，请各投标方在</w:t>
      </w:r>
      <w:r>
        <w:rPr>
          <w:rFonts w:hint="eastAsia" w:ascii="仿宋" w:hAnsi="仿宋" w:eastAsia="仿宋" w:cs="仿宋"/>
          <w:bCs/>
          <w:color w:val="FF0000"/>
          <w:kern w:val="0"/>
          <w:sz w:val="30"/>
          <w:szCs w:val="30"/>
        </w:rPr>
        <w:t>202</w:t>
      </w:r>
      <w:r>
        <w:rPr>
          <w:rFonts w:hint="eastAsia" w:ascii="仿宋" w:hAnsi="仿宋" w:eastAsia="仿宋" w:cs="仿宋"/>
          <w:bCs/>
          <w:color w:val="FF0000"/>
          <w:kern w:val="0"/>
          <w:sz w:val="30"/>
          <w:szCs w:val="30"/>
          <w:lang w:val="en-US" w:eastAsia="zh-CN"/>
        </w:rPr>
        <w:t>6</w:t>
      </w:r>
      <w:r>
        <w:rPr>
          <w:rFonts w:hint="eastAsia" w:ascii="仿宋" w:hAnsi="仿宋" w:eastAsia="仿宋" w:cs="仿宋"/>
          <w:bCs/>
          <w:color w:val="FF0000"/>
          <w:kern w:val="0"/>
          <w:sz w:val="30"/>
          <w:szCs w:val="30"/>
        </w:rPr>
        <w:t>年</w:t>
      </w:r>
      <w:r>
        <w:rPr>
          <w:rFonts w:hint="eastAsia" w:ascii="仿宋" w:hAnsi="仿宋" w:eastAsia="仿宋" w:cs="仿宋"/>
          <w:bCs/>
          <w:color w:val="FF0000"/>
          <w:kern w:val="0"/>
          <w:sz w:val="30"/>
          <w:szCs w:val="30"/>
          <w:lang w:val="en-US" w:eastAsia="zh-CN"/>
        </w:rPr>
        <w:t>4</w:t>
      </w:r>
      <w:r>
        <w:rPr>
          <w:rFonts w:hint="eastAsia" w:ascii="仿宋" w:hAnsi="仿宋" w:eastAsia="仿宋" w:cs="仿宋"/>
          <w:bCs/>
          <w:color w:val="FF0000"/>
          <w:kern w:val="0"/>
          <w:sz w:val="30"/>
          <w:szCs w:val="30"/>
        </w:rPr>
        <w:t>月</w:t>
      </w:r>
      <w:r>
        <w:rPr>
          <w:rFonts w:hint="eastAsia" w:ascii="仿宋" w:hAnsi="仿宋" w:eastAsia="仿宋" w:cs="仿宋"/>
          <w:bCs/>
          <w:color w:val="FF0000"/>
          <w:kern w:val="0"/>
          <w:sz w:val="30"/>
          <w:szCs w:val="30"/>
          <w:lang w:val="en-US" w:eastAsia="zh-CN"/>
        </w:rPr>
        <w:t>28</w:t>
      </w:r>
      <w:bookmarkStart w:id="11" w:name="_GoBack"/>
      <w:bookmarkEnd w:id="11"/>
      <w:r>
        <w:rPr>
          <w:rFonts w:hint="eastAsia" w:ascii="仿宋" w:hAnsi="仿宋" w:eastAsia="仿宋" w:cs="仿宋"/>
          <w:bCs/>
          <w:color w:val="FF0000"/>
          <w:kern w:val="0"/>
          <w:sz w:val="30"/>
          <w:szCs w:val="30"/>
        </w:rPr>
        <w:t>日</w:t>
      </w:r>
      <w:r>
        <w:rPr>
          <w:rFonts w:hint="eastAsia" w:ascii="仿宋" w:hAnsi="仿宋" w:eastAsia="仿宋" w:cs="仿宋"/>
          <w:bCs/>
          <w:color w:val="FF0000"/>
          <w:kern w:val="0"/>
          <w:sz w:val="30"/>
          <w:szCs w:val="30"/>
          <w:lang w:val="en-US" w:eastAsia="zh-CN"/>
        </w:rPr>
        <w:t>17</w:t>
      </w:r>
      <w:r>
        <w:rPr>
          <w:rFonts w:hint="eastAsia" w:ascii="仿宋" w:hAnsi="仿宋" w:eastAsia="仿宋" w:cs="仿宋"/>
          <w:bCs/>
          <w:color w:val="FF0000"/>
          <w:kern w:val="0"/>
          <w:sz w:val="30"/>
          <w:szCs w:val="30"/>
        </w:rPr>
        <w:t>点</w:t>
      </w:r>
      <w:r>
        <w:rPr>
          <w:rFonts w:hint="eastAsia" w:ascii="仿宋" w:hAnsi="仿宋" w:eastAsia="仿宋" w:cs="仿宋"/>
          <w:bCs/>
          <w:kern w:val="0"/>
          <w:sz w:val="30"/>
          <w:szCs w:val="30"/>
        </w:rPr>
        <w:t>前将以上资质文件扫描件，根据要求上传至蒙牛集团电子采购招标平台系统进行报名，作为报名及资格预审材料，报名资料提交成功后与采招对接人确认，审查合格后方可发送询价单。未按时提供或提供的资料不全及材料不能满足公告规定要求的，视为无效，资审不予通过。报名资料必须清晰、易辨认，否则将被视为没有提供有效证件。所提供的资质文件中如有虚假情况，一经发现将被取消投标资格，记入诚信信息档案。</w:t>
      </w:r>
    </w:p>
    <w:p w14:paraId="3F4D5432">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开标现场需携带以上资格文件原件</w:t>
      </w:r>
    </w:p>
    <w:p w14:paraId="49EC310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报名流程：</w:t>
      </w:r>
    </w:p>
    <w:p w14:paraId="38BA99E4">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第一步：注册-需到蒙牛集团供应链关系管理平台注册；（已注册的供应商无需注册）</w:t>
      </w:r>
    </w:p>
    <w:p w14:paraId="189CFBB2">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网址</w:t>
      </w:r>
      <w:r>
        <w:rPr>
          <w:rFonts w:hint="eastAsia" w:ascii="仿宋" w:hAnsi="仿宋" w:eastAsia="仿宋" w:cs="仿宋"/>
          <w:bCs/>
          <w:kern w:val="0"/>
          <w:sz w:val="30"/>
          <w:szCs w:val="30"/>
        </w:rPr>
        <w:fldChar w:fldCharType="begin"/>
      </w:r>
      <w:r>
        <w:rPr>
          <w:rFonts w:hint="eastAsia" w:ascii="仿宋" w:hAnsi="仿宋" w:eastAsia="仿宋" w:cs="仿宋"/>
          <w:bCs/>
          <w:kern w:val="0"/>
          <w:sz w:val="30"/>
          <w:szCs w:val="30"/>
        </w:rPr>
        <w:instrText xml:space="preserve"> HYPERLINK "https://srm.mengniu.cn/sap/bc/webdynpro/sap/zregistration" </w:instrText>
      </w:r>
      <w:r>
        <w:rPr>
          <w:rFonts w:hint="eastAsia" w:ascii="仿宋" w:hAnsi="仿宋" w:eastAsia="仿宋" w:cs="仿宋"/>
          <w:bCs/>
          <w:kern w:val="0"/>
          <w:sz w:val="30"/>
          <w:szCs w:val="30"/>
        </w:rPr>
        <w:fldChar w:fldCharType="separate"/>
      </w:r>
      <w:r>
        <w:rPr>
          <w:rFonts w:hint="eastAsia" w:ascii="仿宋" w:hAnsi="仿宋" w:eastAsia="仿宋" w:cs="仿宋"/>
          <w:bCs/>
          <w:kern w:val="0"/>
          <w:sz w:val="30"/>
          <w:szCs w:val="30"/>
        </w:rPr>
        <w:t>https://srm.mengniu.cn/sap/bc/webdynpro/sap/zregistration</w:t>
      </w:r>
      <w:r>
        <w:rPr>
          <w:rFonts w:hint="eastAsia" w:ascii="仿宋" w:hAnsi="仿宋" w:eastAsia="仿宋" w:cs="仿宋"/>
          <w:bCs/>
          <w:kern w:val="0"/>
          <w:sz w:val="30"/>
          <w:szCs w:val="30"/>
        </w:rPr>
        <w:fldChar w:fldCharType="end"/>
      </w:r>
      <w:r>
        <w:rPr>
          <w:rFonts w:hint="eastAsia" w:ascii="仿宋" w:hAnsi="仿宋" w:eastAsia="仿宋" w:cs="仿宋"/>
          <w:bCs/>
          <w:kern w:val="0"/>
          <w:sz w:val="30"/>
          <w:szCs w:val="30"/>
        </w:rPr>
        <w:t>（客服电话4008108111）</w:t>
      </w:r>
    </w:p>
    <w:p w14:paraId="4E5BED82">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【注册时，供应商类别选择参考：仓储运输类，注册后联系业务对接人曹毅，电话/钉钉号：15754879436    进行准入，注册并完成准入时间为：</w:t>
      </w:r>
      <w:r>
        <w:rPr>
          <w:rFonts w:hint="eastAsia" w:ascii="仿宋" w:hAnsi="仿宋" w:eastAsia="仿宋" w:cs="仿宋"/>
          <w:bCs/>
          <w:color w:val="FF0000"/>
          <w:kern w:val="0"/>
          <w:sz w:val="30"/>
          <w:szCs w:val="30"/>
        </w:rPr>
        <w:t>202</w:t>
      </w:r>
      <w:r>
        <w:rPr>
          <w:rFonts w:hint="eastAsia" w:ascii="仿宋" w:hAnsi="仿宋" w:eastAsia="仿宋" w:cs="仿宋"/>
          <w:bCs/>
          <w:color w:val="FF0000"/>
          <w:kern w:val="0"/>
          <w:sz w:val="30"/>
          <w:szCs w:val="30"/>
          <w:lang w:val="en-US" w:eastAsia="zh-CN"/>
        </w:rPr>
        <w:t>6</w:t>
      </w:r>
      <w:r>
        <w:rPr>
          <w:rFonts w:hint="eastAsia" w:ascii="仿宋" w:hAnsi="仿宋" w:eastAsia="仿宋" w:cs="仿宋"/>
          <w:bCs/>
          <w:color w:val="FF0000"/>
          <w:kern w:val="0"/>
          <w:sz w:val="30"/>
          <w:szCs w:val="30"/>
        </w:rPr>
        <w:t>年</w:t>
      </w:r>
      <w:r>
        <w:rPr>
          <w:rFonts w:hint="eastAsia" w:ascii="仿宋" w:hAnsi="仿宋" w:eastAsia="仿宋" w:cs="仿宋"/>
          <w:bCs/>
          <w:color w:val="FF0000"/>
          <w:kern w:val="0"/>
          <w:sz w:val="30"/>
          <w:szCs w:val="30"/>
          <w:lang w:val="en-US" w:eastAsia="zh-CN"/>
        </w:rPr>
        <w:t>4</w:t>
      </w:r>
      <w:r>
        <w:rPr>
          <w:rFonts w:hint="eastAsia" w:ascii="仿宋" w:hAnsi="仿宋" w:eastAsia="仿宋" w:cs="仿宋"/>
          <w:bCs/>
          <w:color w:val="FF0000"/>
          <w:kern w:val="0"/>
          <w:sz w:val="30"/>
          <w:szCs w:val="30"/>
        </w:rPr>
        <w:t>月</w:t>
      </w:r>
      <w:r>
        <w:rPr>
          <w:rFonts w:hint="eastAsia" w:ascii="仿宋" w:hAnsi="仿宋" w:eastAsia="仿宋" w:cs="仿宋"/>
          <w:bCs/>
          <w:color w:val="FF0000"/>
          <w:kern w:val="0"/>
          <w:sz w:val="30"/>
          <w:szCs w:val="30"/>
          <w:lang w:val="en-US" w:eastAsia="zh-CN"/>
        </w:rPr>
        <w:t>24</w:t>
      </w:r>
      <w:r>
        <w:rPr>
          <w:rFonts w:hint="eastAsia" w:ascii="仿宋" w:hAnsi="仿宋" w:eastAsia="仿宋" w:cs="仿宋"/>
          <w:bCs/>
          <w:color w:val="FF0000"/>
          <w:kern w:val="0"/>
          <w:sz w:val="30"/>
          <w:szCs w:val="30"/>
        </w:rPr>
        <w:t>日-</w:t>
      </w:r>
      <w:r>
        <w:rPr>
          <w:rFonts w:hint="eastAsia" w:ascii="仿宋" w:hAnsi="仿宋" w:eastAsia="仿宋" w:cs="仿宋"/>
          <w:bCs/>
          <w:color w:val="FF0000"/>
          <w:kern w:val="0"/>
          <w:sz w:val="30"/>
          <w:szCs w:val="30"/>
          <w:lang w:val="en-US" w:eastAsia="zh-CN"/>
        </w:rPr>
        <w:t>28</w:t>
      </w:r>
      <w:r>
        <w:rPr>
          <w:rFonts w:hint="eastAsia" w:ascii="仿宋" w:hAnsi="仿宋" w:eastAsia="仿宋" w:cs="仿宋"/>
          <w:bCs/>
          <w:color w:val="FF0000"/>
          <w:kern w:val="0"/>
          <w:sz w:val="30"/>
          <w:szCs w:val="30"/>
        </w:rPr>
        <w:t>日</w:t>
      </w:r>
      <w:r>
        <w:rPr>
          <w:rFonts w:hint="eastAsia" w:ascii="仿宋" w:hAnsi="仿宋" w:eastAsia="仿宋" w:cs="仿宋"/>
          <w:bCs/>
          <w:kern w:val="0"/>
          <w:sz w:val="30"/>
          <w:szCs w:val="30"/>
        </w:rPr>
        <w:t>，准入通过后次日生成报名账号】</w:t>
      </w:r>
    </w:p>
    <w:p w14:paraId="3E2002D4">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第二步：报名-登录蒙牛集团电子采购招标平台报名，账号：社会统一信用代码+初始密码；</w:t>
      </w:r>
    </w:p>
    <w:p w14:paraId="320A6126">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网址</w:t>
      </w:r>
      <w:r>
        <w:rPr>
          <w:rFonts w:hint="eastAsia" w:ascii="仿宋" w:hAnsi="仿宋" w:eastAsia="仿宋" w:cs="仿宋"/>
          <w:bCs/>
          <w:kern w:val="0"/>
          <w:sz w:val="30"/>
          <w:szCs w:val="30"/>
        </w:rPr>
        <w:fldChar w:fldCharType="begin"/>
      </w:r>
      <w:r>
        <w:rPr>
          <w:rFonts w:hint="eastAsia" w:ascii="仿宋" w:hAnsi="仿宋" w:eastAsia="仿宋" w:cs="仿宋"/>
          <w:bCs/>
          <w:kern w:val="0"/>
          <w:sz w:val="30"/>
          <w:szCs w:val="30"/>
        </w:rPr>
        <w:instrText xml:space="preserve"> HYPERLINK "https://zbcg.mengniu.cn/" \l "/home" \t "_blank" </w:instrText>
      </w:r>
      <w:r>
        <w:rPr>
          <w:rFonts w:hint="eastAsia" w:ascii="仿宋" w:hAnsi="仿宋" w:eastAsia="仿宋" w:cs="仿宋"/>
          <w:bCs/>
          <w:kern w:val="0"/>
          <w:sz w:val="30"/>
          <w:szCs w:val="30"/>
        </w:rPr>
        <w:fldChar w:fldCharType="separate"/>
      </w:r>
      <w:r>
        <w:rPr>
          <w:rFonts w:hint="eastAsia" w:ascii="仿宋" w:hAnsi="仿宋" w:eastAsia="仿宋" w:cs="仿宋"/>
          <w:bCs/>
          <w:kern w:val="0"/>
          <w:sz w:val="30"/>
          <w:szCs w:val="30"/>
        </w:rPr>
        <w:t>https://zbcg.mengniu.cn/#/home</w:t>
      </w:r>
      <w:r>
        <w:rPr>
          <w:rFonts w:hint="eastAsia" w:ascii="仿宋" w:hAnsi="仿宋" w:eastAsia="仿宋" w:cs="仿宋"/>
          <w:bCs/>
          <w:kern w:val="0"/>
          <w:sz w:val="30"/>
          <w:szCs w:val="30"/>
        </w:rPr>
        <w:fldChar w:fldCharType="end"/>
      </w:r>
      <w:r>
        <w:rPr>
          <w:rFonts w:hint="eastAsia" w:ascii="仿宋" w:hAnsi="仿宋" w:eastAsia="仿宋" w:cs="仿宋"/>
          <w:bCs/>
          <w:kern w:val="0"/>
          <w:sz w:val="30"/>
          <w:szCs w:val="30"/>
        </w:rPr>
        <w:t xml:space="preserve"> （客服电话01021362559）。点开单位名称-鼠标点到“列入严重违法失信名单（黑名单）信息 ”-截图】。</w:t>
      </w:r>
    </w:p>
    <w:p w14:paraId="476A2D13">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六、项目时间安排及要求：</w:t>
      </w:r>
    </w:p>
    <w:p w14:paraId="4DFE9847">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1、报名时间：</w:t>
      </w:r>
      <w:r>
        <w:rPr>
          <w:rFonts w:hint="eastAsia" w:ascii="仿宋" w:hAnsi="仿宋" w:eastAsia="仿宋" w:cs="仿宋"/>
          <w:bCs/>
          <w:color w:val="FF0000"/>
          <w:kern w:val="0"/>
          <w:sz w:val="30"/>
          <w:szCs w:val="30"/>
        </w:rPr>
        <w:t>202</w:t>
      </w:r>
      <w:r>
        <w:rPr>
          <w:rFonts w:hint="eastAsia" w:ascii="仿宋" w:hAnsi="仿宋" w:eastAsia="仿宋" w:cs="仿宋"/>
          <w:bCs/>
          <w:color w:val="FF0000"/>
          <w:kern w:val="0"/>
          <w:sz w:val="30"/>
          <w:szCs w:val="30"/>
          <w:lang w:val="en-US" w:eastAsia="zh-CN"/>
        </w:rPr>
        <w:t>6</w:t>
      </w:r>
      <w:r>
        <w:rPr>
          <w:rFonts w:hint="eastAsia" w:ascii="仿宋" w:hAnsi="仿宋" w:eastAsia="仿宋" w:cs="仿宋"/>
          <w:bCs/>
          <w:color w:val="FF0000"/>
          <w:kern w:val="0"/>
          <w:sz w:val="30"/>
          <w:szCs w:val="30"/>
        </w:rPr>
        <w:t>年</w:t>
      </w:r>
      <w:r>
        <w:rPr>
          <w:rFonts w:hint="eastAsia" w:ascii="仿宋" w:hAnsi="仿宋" w:eastAsia="仿宋" w:cs="仿宋"/>
          <w:bCs/>
          <w:color w:val="FF0000"/>
          <w:kern w:val="0"/>
          <w:sz w:val="30"/>
          <w:szCs w:val="30"/>
          <w:lang w:val="en-US" w:eastAsia="zh-CN"/>
        </w:rPr>
        <w:t>4</w:t>
      </w:r>
      <w:r>
        <w:rPr>
          <w:rFonts w:hint="eastAsia" w:ascii="仿宋" w:hAnsi="仿宋" w:eastAsia="仿宋" w:cs="仿宋"/>
          <w:bCs/>
          <w:color w:val="FF0000"/>
          <w:kern w:val="0"/>
          <w:sz w:val="30"/>
          <w:szCs w:val="30"/>
        </w:rPr>
        <w:t>月</w:t>
      </w:r>
      <w:r>
        <w:rPr>
          <w:rFonts w:hint="eastAsia" w:ascii="仿宋" w:hAnsi="仿宋" w:eastAsia="仿宋" w:cs="仿宋"/>
          <w:bCs/>
          <w:color w:val="FF0000"/>
          <w:kern w:val="0"/>
          <w:sz w:val="30"/>
          <w:szCs w:val="30"/>
          <w:lang w:val="en-US" w:eastAsia="zh-CN"/>
        </w:rPr>
        <w:t>24</w:t>
      </w:r>
      <w:r>
        <w:rPr>
          <w:rFonts w:hint="eastAsia" w:ascii="仿宋" w:hAnsi="仿宋" w:eastAsia="仿宋" w:cs="仿宋"/>
          <w:bCs/>
          <w:color w:val="FF0000"/>
          <w:kern w:val="0"/>
          <w:sz w:val="30"/>
          <w:szCs w:val="30"/>
        </w:rPr>
        <w:t>日-</w:t>
      </w:r>
      <w:r>
        <w:rPr>
          <w:rFonts w:hint="eastAsia" w:ascii="仿宋" w:hAnsi="仿宋" w:eastAsia="仿宋" w:cs="仿宋"/>
          <w:bCs/>
          <w:color w:val="FF0000"/>
          <w:kern w:val="0"/>
          <w:sz w:val="30"/>
          <w:szCs w:val="30"/>
          <w:lang w:val="en-US" w:eastAsia="zh-CN"/>
        </w:rPr>
        <w:t>4</w:t>
      </w:r>
      <w:r>
        <w:rPr>
          <w:rFonts w:hint="eastAsia" w:ascii="仿宋" w:hAnsi="仿宋" w:eastAsia="仿宋" w:cs="仿宋"/>
          <w:bCs/>
          <w:color w:val="FF0000"/>
          <w:kern w:val="0"/>
          <w:sz w:val="30"/>
          <w:szCs w:val="30"/>
        </w:rPr>
        <w:t>月</w:t>
      </w:r>
      <w:r>
        <w:rPr>
          <w:rFonts w:hint="eastAsia" w:ascii="仿宋" w:hAnsi="仿宋" w:eastAsia="仿宋" w:cs="仿宋"/>
          <w:bCs/>
          <w:color w:val="FF0000"/>
          <w:kern w:val="0"/>
          <w:sz w:val="30"/>
          <w:szCs w:val="30"/>
          <w:lang w:val="en-US" w:eastAsia="zh-CN"/>
        </w:rPr>
        <w:t>29</w:t>
      </w:r>
      <w:r>
        <w:rPr>
          <w:rFonts w:hint="eastAsia" w:ascii="仿宋" w:hAnsi="仿宋" w:eastAsia="仿宋" w:cs="仿宋"/>
          <w:bCs/>
          <w:color w:val="FF0000"/>
          <w:kern w:val="0"/>
          <w:sz w:val="30"/>
          <w:szCs w:val="30"/>
        </w:rPr>
        <w:t>日</w:t>
      </w:r>
      <w:r>
        <w:rPr>
          <w:rFonts w:hint="eastAsia" w:ascii="仿宋" w:hAnsi="仿宋" w:eastAsia="仿宋" w:cs="仿宋"/>
          <w:bCs/>
          <w:color w:val="FF0000"/>
          <w:kern w:val="0"/>
          <w:sz w:val="30"/>
          <w:szCs w:val="30"/>
          <w:lang w:val="en-US" w:eastAsia="zh-CN"/>
        </w:rPr>
        <w:t>0</w:t>
      </w:r>
      <w:r>
        <w:rPr>
          <w:rFonts w:hint="eastAsia" w:ascii="仿宋" w:hAnsi="仿宋" w:eastAsia="仿宋" w:cs="仿宋"/>
          <w:bCs/>
          <w:color w:val="FF0000"/>
          <w:kern w:val="0"/>
          <w:sz w:val="30"/>
          <w:szCs w:val="30"/>
        </w:rPr>
        <w:t xml:space="preserve">点前 </w:t>
      </w:r>
      <w:r>
        <w:rPr>
          <w:rFonts w:hint="eastAsia" w:ascii="仿宋" w:hAnsi="仿宋" w:eastAsia="仿宋" w:cs="仿宋"/>
          <w:bCs/>
          <w:kern w:val="0"/>
          <w:sz w:val="30"/>
          <w:szCs w:val="30"/>
        </w:rPr>
        <w:t>；</w:t>
      </w:r>
    </w:p>
    <w:p w14:paraId="365AF4EE">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2、资格预审时间：</w:t>
      </w:r>
      <w:r>
        <w:rPr>
          <w:rFonts w:hint="eastAsia" w:ascii="仿宋" w:hAnsi="仿宋" w:eastAsia="仿宋" w:cs="仿宋"/>
          <w:bCs/>
          <w:color w:val="FF0000"/>
          <w:kern w:val="0"/>
          <w:sz w:val="30"/>
          <w:szCs w:val="30"/>
        </w:rPr>
        <w:t>202</w:t>
      </w:r>
      <w:r>
        <w:rPr>
          <w:rFonts w:hint="eastAsia" w:ascii="仿宋" w:hAnsi="仿宋" w:eastAsia="仿宋" w:cs="仿宋"/>
          <w:bCs/>
          <w:color w:val="FF0000"/>
          <w:kern w:val="0"/>
          <w:sz w:val="30"/>
          <w:szCs w:val="30"/>
          <w:lang w:val="en-US" w:eastAsia="zh-CN"/>
        </w:rPr>
        <w:t>6</w:t>
      </w:r>
      <w:r>
        <w:rPr>
          <w:rFonts w:hint="eastAsia" w:ascii="仿宋" w:hAnsi="仿宋" w:eastAsia="仿宋" w:cs="仿宋"/>
          <w:bCs/>
          <w:color w:val="FF0000"/>
          <w:kern w:val="0"/>
          <w:sz w:val="30"/>
          <w:szCs w:val="30"/>
        </w:rPr>
        <w:t>年</w:t>
      </w:r>
      <w:r>
        <w:rPr>
          <w:rFonts w:hint="eastAsia" w:ascii="仿宋" w:hAnsi="仿宋" w:eastAsia="仿宋" w:cs="仿宋"/>
          <w:bCs/>
          <w:color w:val="FF0000"/>
          <w:kern w:val="0"/>
          <w:sz w:val="30"/>
          <w:szCs w:val="30"/>
          <w:lang w:val="en-US" w:eastAsia="zh-CN"/>
        </w:rPr>
        <w:t>5</w:t>
      </w:r>
      <w:r>
        <w:rPr>
          <w:rFonts w:hint="eastAsia" w:ascii="仿宋" w:hAnsi="仿宋" w:eastAsia="仿宋" w:cs="仿宋"/>
          <w:bCs/>
          <w:color w:val="FF0000"/>
          <w:kern w:val="0"/>
          <w:sz w:val="30"/>
          <w:szCs w:val="30"/>
        </w:rPr>
        <w:t>月</w:t>
      </w:r>
      <w:r>
        <w:rPr>
          <w:rFonts w:hint="eastAsia" w:ascii="仿宋" w:hAnsi="仿宋" w:eastAsia="仿宋" w:cs="仿宋"/>
          <w:bCs/>
          <w:color w:val="FF0000"/>
          <w:kern w:val="0"/>
          <w:sz w:val="30"/>
          <w:szCs w:val="30"/>
          <w:lang w:val="en-US" w:eastAsia="zh-CN"/>
        </w:rPr>
        <w:t>1</w:t>
      </w:r>
      <w:r>
        <w:rPr>
          <w:rFonts w:hint="eastAsia" w:ascii="仿宋" w:hAnsi="仿宋" w:eastAsia="仿宋" w:cs="仿宋"/>
          <w:bCs/>
          <w:color w:val="FF0000"/>
          <w:kern w:val="0"/>
          <w:sz w:val="30"/>
          <w:szCs w:val="30"/>
        </w:rPr>
        <w:t>日</w:t>
      </w:r>
      <w:r>
        <w:rPr>
          <w:rFonts w:hint="eastAsia" w:ascii="仿宋" w:hAnsi="仿宋" w:eastAsia="仿宋" w:cs="仿宋"/>
          <w:bCs/>
          <w:color w:val="FF0000"/>
          <w:kern w:val="0"/>
          <w:sz w:val="30"/>
          <w:szCs w:val="30"/>
          <w:lang w:val="en-US" w:eastAsia="zh-CN"/>
        </w:rPr>
        <w:t>0</w:t>
      </w:r>
      <w:r>
        <w:rPr>
          <w:rFonts w:hint="eastAsia" w:ascii="仿宋" w:hAnsi="仿宋" w:eastAsia="仿宋" w:cs="仿宋"/>
          <w:bCs/>
          <w:color w:val="FF0000"/>
          <w:kern w:val="0"/>
          <w:sz w:val="30"/>
          <w:szCs w:val="30"/>
        </w:rPr>
        <w:t>点前</w:t>
      </w:r>
      <w:r>
        <w:rPr>
          <w:rFonts w:hint="eastAsia" w:ascii="仿宋" w:hAnsi="仿宋" w:eastAsia="仿宋" w:cs="仿宋"/>
          <w:bCs/>
          <w:kern w:val="0"/>
          <w:sz w:val="30"/>
          <w:szCs w:val="30"/>
        </w:rPr>
        <w:t>；</w:t>
      </w:r>
    </w:p>
    <w:p w14:paraId="7120AFCC">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3、询价单发放时间：</w:t>
      </w:r>
      <w:r>
        <w:rPr>
          <w:rFonts w:hint="eastAsia" w:ascii="仿宋" w:hAnsi="仿宋" w:eastAsia="仿宋" w:cs="仿宋"/>
          <w:bCs/>
          <w:color w:val="FF0000"/>
          <w:kern w:val="0"/>
          <w:sz w:val="30"/>
          <w:szCs w:val="30"/>
        </w:rPr>
        <w:t>202</w:t>
      </w:r>
      <w:r>
        <w:rPr>
          <w:rFonts w:hint="eastAsia" w:ascii="仿宋" w:hAnsi="仿宋" w:eastAsia="仿宋" w:cs="仿宋"/>
          <w:bCs/>
          <w:color w:val="FF0000"/>
          <w:kern w:val="0"/>
          <w:sz w:val="30"/>
          <w:szCs w:val="30"/>
          <w:lang w:val="en-US" w:eastAsia="zh-CN"/>
        </w:rPr>
        <w:t>6</w:t>
      </w:r>
      <w:r>
        <w:rPr>
          <w:rFonts w:hint="eastAsia" w:ascii="仿宋" w:hAnsi="仿宋" w:eastAsia="仿宋" w:cs="仿宋"/>
          <w:bCs/>
          <w:color w:val="FF0000"/>
          <w:kern w:val="0"/>
          <w:sz w:val="30"/>
          <w:szCs w:val="30"/>
        </w:rPr>
        <w:t>年</w:t>
      </w:r>
      <w:r>
        <w:rPr>
          <w:rFonts w:hint="eastAsia" w:ascii="仿宋" w:hAnsi="仿宋" w:eastAsia="仿宋" w:cs="仿宋"/>
          <w:bCs/>
          <w:color w:val="FF0000"/>
          <w:kern w:val="0"/>
          <w:sz w:val="30"/>
          <w:szCs w:val="30"/>
          <w:lang w:val="en-US" w:eastAsia="zh-CN"/>
        </w:rPr>
        <w:t>5</w:t>
      </w:r>
      <w:r>
        <w:rPr>
          <w:rFonts w:hint="eastAsia" w:ascii="仿宋" w:hAnsi="仿宋" w:eastAsia="仿宋" w:cs="仿宋"/>
          <w:bCs/>
          <w:color w:val="FF0000"/>
          <w:kern w:val="0"/>
          <w:sz w:val="30"/>
          <w:szCs w:val="30"/>
        </w:rPr>
        <w:t>月</w:t>
      </w:r>
      <w:r>
        <w:rPr>
          <w:rFonts w:hint="eastAsia" w:ascii="仿宋" w:hAnsi="仿宋" w:eastAsia="仿宋" w:cs="仿宋"/>
          <w:bCs/>
          <w:color w:val="FF0000"/>
          <w:kern w:val="0"/>
          <w:sz w:val="30"/>
          <w:szCs w:val="30"/>
          <w:lang w:val="en-US" w:eastAsia="zh-CN"/>
        </w:rPr>
        <w:t>1</w:t>
      </w:r>
      <w:r>
        <w:rPr>
          <w:rFonts w:hint="eastAsia" w:ascii="仿宋" w:hAnsi="仿宋" w:eastAsia="仿宋" w:cs="仿宋"/>
          <w:bCs/>
          <w:color w:val="FF0000"/>
          <w:kern w:val="0"/>
          <w:sz w:val="30"/>
          <w:szCs w:val="30"/>
        </w:rPr>
        <w:t>日</w:t>
      </w:r>
      <w:r>
        <w:rPr>
          <w:rFonts w:hint="eastAsia" w:ascii="仿宋" w:hAnsi="仿宋" w:eastAsia="仿宋" w:cs="仿宋"/>
          <w:bCs/>
          <w:kern w:val="0"/>
          <w:sz w:val="30"/>
          <w:szCs w:val="30"/>
        </w:rPr>
        <w:t>（具体时间根据组织方实际推进确定）；</w:t>
      </w:r>
    </w:p>
    <w:p w14:paraId="4530F59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4、比价时间：</w:t>
      </w:r>
      <w:r>
        <w:rPr>
          <w:rFonts w:hint="eastAsia" w:ascii="仿宋" w:hAnsi="仿宋" w:eastAsia="仿宋" w:cs="仿宋"/>
          <w:bCs/>
          <w:color w:val="FF0000"/>
          <w:kern w:val="0"/>
          <w:sz w:val="30"/>
          <w:szCs w:val="30"/>
        </w:rPr>
        <w:t>2025年</w:t>
      </w:r>
      <w:r>
        <w:rPr>
          <w:rFonts w:hint="eastAsia" w:ascii="仿宋" w:hAnsi="仿宋" w:eastAsia="仿宋" w:cs="仿宋"/>
          <w:bCs/>
          <w:color w:val="FF0000"/>
          <w:kern w:val="0"/>
          <w:sz w:val="30"/>
          <w:szCs w:val="30"/>
          <w:lang w:val="en-US" w:eastAsia="zh-CN"/>
        </w:rPr>
        <w:t>5</w:t>
      </w:r>
      <w:r>
        <w:rPr>
          <w:rFonts w:hint="eastAsia" w:ascii="仿宋" w:hAnsi="仿宋" w:eastAsia="仿宋" w:cs="仿宋"/>
          <w:bCs/>
          <w:color w:val="FF0000"/>
          <w:kern w:val="0"/>
          <w:sz w:val="30"/>
          <w:szCs w:val="30"/>
        </w:rPr>
        <w:t>月</w:t>
      </w:r>
      <w:r>
        <w:rPr>
          <w:rFonts w:hint="eastAsia" w:ascii="仿宋" w:hAnsi="仿宋" w:eastAsia="仿宋" w:cs="仿宋"/>
          <w:bCs/>
          <w:color w:val="FF0000"/>
          <w:kern w:val="0"/>
          <w:sz w:val="30"/>
          <w:szCs w:val="30"/>
          <w:lang w:val="en-US" w:eastAsia="zh-CN"/>
        </w:rPr>
        <w:t>7</w:t>
      </w:r>
      <w:r>
        <w:rPr>
          <w:rFonts w:hint="eastAsia" w:ascii="仿宋" w:hAnsi="仿宋" w:eastAsia="仿宋" w:cs="仿宋"/>
          <w:bCs/>
          <w:color w:val="FF0000"/>
          <w:kern w:val="0"/>
          <w:sz w:val="30"/>
          <w:szCs w:val="30"/>
        </w:rPr>
        <w:t>日</w:t>
      </w:r>
      <w:r>
        <w:rPr>
          <w:rFonts w:hint="eastAsia" w:ascii="仿宋" w:hAnsi="仿宋" w:eastAsia="仿宋" w:cs="仿宋"/>
          <w:bCs/>
          <w:kern w:val="0"/>
          <w:sz w:val="30"/>
          <w:szCs w:val="30"/>
        </w:rPr>
        <w:t>，在蒙牛集团电子采购招标平台开展，具体时间及安排根据组织方实际推进确定；（以发出的询价单为准）</w:t>
      </w:r>
    </w:p>
    <w:p w14:paraId="455EDF74">
      <w:pPr>
        <w:adjustRightInd w:val="0"/>
        <w:snapToGrid w:val="0"/>
        <w:spacing w:line="360" w:lineRule="auto"/>
        <w:ind w:firstLine="600" w:firstLineChars="200"/>
        <w:rPr>
          <w:rFonts w:hint="eastAsia" w:ascii="仿宋" w:hAnsi="仿宋" w:eastAsia="仿宋" w:cs="仿宋"/>
          <w:bCs/>
          <w:kern w:val="0"/>
          <w:sz w:val="30"/>
          <w:szCs w:val="30"/>
        </w:rPr>
      </w:pPr>
    </w:p>
    <w:p w14:paraId="04580C5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七、发布渠道：</w:t>
      </w:r>
    </w:p>
    <w:p w14:paraId="35AB41A0">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中国采购与招标网大数据平台（https://www.chinabidding.cn/）</w:t>
      </w:r>
    </w:p>
    <w:p w14:paraId="161C6D11">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蒙牛集团电子采购招标平台（https://zbcg.mengniu.cn/#/home)</w:t>
      </w:r>
    </w:p>
    <w:p w14:paraId="2F2136B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蒙牛官网（http://www.mengniu.com.cn）</w:t>
      </w:r>
    </w:p>
    <w:p w14:paraId="4A0B9A18">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蒙牛内部OA平台</w:t>
      </w:r>
    </w:p>
    <w:p w14:paraId="1F7E8A05">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公告只在以上平台发布，其他任何媒体转载无效</w:t>
      </w:r>
    </w:p>
    <w:p w14:paraId="23309687">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八、采购招标实施方及联系方式：</w:t>
      </w:r>
    </w:p>
    <w:p w14:paraId="772972F1">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采购招标实施方：内蒙古蒙牛乳业集团（股份）有限公司采购中心</w:t>
      </w:r>
    </w:p>
    <w:p w14:paraId="066C3446">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业务咨询联系人及联系方式：曹毅：15754879436</w:t>
      </w:r>
    </w:p>
    <w:p w14:paraId="37821FDA">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九、监督单位及联系方式：</w:t>
      </w:r>
    </w:p>
    <w:p w14:paraId="6F2A56D5">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1、采购招标项目违规问题的投诉受理单位：蒙牛乳业采购招标管理部</w:t>
      </w:r>
    </w:p>
    <w:p w14:paraId="026A9041">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监 督 人: 潘宏  18686095595</w:t>
      </w:r>
    </w:p>
    <w:p w14:paraId="0B7E57C6">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电子邮件：panhong@mengniu.cn</w:t>
      </w:r>
    </w:p>
    <w:p w14:paraId="3431DB34">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质疑/投诉服务网址：</w:t>
      </w:r>
      <w:r>
        <w:rPr>
          <w:rFonts w:hint="eastAsia" w:ascii="仿宋" w:hAnsi="仿宋" w:eastAsia="仿宋" w:cs="仿宋"/>
          <w:bCs/>
          <w:kern w:val="0"/>
          <w:sz w:val="30"/>
          <w:szCs w:val="30"/>
        </w:rPr>
        <w:fldChar w:fldCharType="begin"/>
      </w:r>
      <w:r>
        <w:rPr>
          <w:rFonts w:hint="eastAsia" w:ascii="仿宋" w:hAnsi="仿宋" w:eastAsia="仿宋" w:cs="仿宋"/>
          <w:bCs/>
          <w:kern w:val="0"/>
          <w:sz w:val="30"/>
          <w:szCs w:val="30"/>
        </w:rPr>
        <w:instrText xml:space="preserve"> HYPERLINK "https://zbcg.mengniu.cn/" \l "/home" \t "_blank" </w:instrText>
      </w:r>
      <w:r>
        <w:rPr>
          <w:rFonts w:hint="eastAsia" w:ascii="仿宋" w:hAnsi="仿宋" w:eastAsia="仿宋" w:cs="仿宋"/>
          <w:bCs/>
          <w:kern w:val="0"/>
          <w:sz w:val="30"/>
          <w:szCs w:val="30"/>
        </w:rPr>
        <w:fldChar w:fldCharType="separate"/>
      </w:r>
      <w:r>
        <w:rPr>
          <w:rFonts w:hint="eastAsia" w:ascii="仿宋" w:hAnsi="仿宋" w:eastAsia="仿宋" w:cs="仿宋"/>
          <w:bCs/>
          <w:kern w:val="0"/>
          <w:sz w:val="30"/>
          <w:szCs w:val="30"/>
        </w:rPr>
        <w:t>https://zbcg.mengniu.cn/#/home</w:t>
      </w:r>
      <w:r>
        <w:rPr>
          <w:rFonts w:hint="eastAsia" w:ascii="仿宋" w:hAnsi="仿宋" w:eastAsia="仿宋" w:cs="仿宋"/>
          <w:bCs/>
          <w:kern w:val="0"/>
          <w:sz w:val="30"/>
          <w:szCs w:val="30"/>
        </w:rPr>
        <w:fldChar w:fldCharType="end"/>
      </w:r>
    </w:p>
    <w:p w14:paraId="27887192">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2、采购招标项目的违纪问题举报受理单位：蒙牛乳业纪委办公室</w:t>
      </w:r>
    </w:p>
    <w:p w14:paraId="7F481E1F">
      <w:pPr>
        <w:spacing w:line="300" w:lineRule="auto"/>
        <w:ind w:firstLine="600" w:firstLineChars="200"/>
        <w:rPr>
          <w:rFonts w:ascii="宋体" w:hAnsi="宋体" w:eastAsia="宋体" w:cs="宋体"/>
          <w:sz w:val="24"/>
          <w:szCs w:val="24"/>
        </w:rPr>
      </w:pPr>
      <w:r>
        <w:rPr>
          <w:rFonts w:hint="eastAsia" w:ascii="仿宋" w:hAnsi="仿宋" w:eastAsia="仿宋" w:cs="仿宋"/>
          <w:bCs/>
          <w:kern w:val="0"/>
          <w:sz w:val="30"/>
          <w:szCs w:val="30"/>
        </w:rPr>
        <w:t>监 督 人:  陈大禹</w:t>
      </w:r>
    </w:p>
    <w:p w14:paraId="5A93786A">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联系电话：0471-7393612</w:t>
      </w:r>
    </w:p>
    <w:p w14:paraId="121A2BD6">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受理范围：采购招标</w:t>
      </w:r>
      <w:bookmarkStart w:id="10" w:name="OLE_LINK1"/>
      <w:r>
        <w:rPr>
          <w:rFonts w:hint="eastAsia" w:ascii="仿宋" w:hAnsi="仿宋" w:eastAsia="仿宋" w:cs="仿宋"/>
          <w:bCs/>
          <w:kern w:val="0"/>
          <w:sz w:val="30"/>
          <w:szCs w:val="30"/>
        </w:rPr>
        <w:t>执行过程中涉嫌</w:t>
      </w:r>
      <w:bookmarkEnd w:id="10"/>
      <w:r>
        <w:rPr>
          <w:rFonts w:hint="eastAsia" w:ascii="仿宋" w:hAnsi="仿宋" w:eastAsia="仿宋" w:cs="仿宋"/>
          <w:bCs/>
          <w:kern w:val="0"/>
          <w:sz w:val="30"/>
          <w:szCs w:val="30"/>
        </w:rPr>
        <w:t>贪污贿赂、滥用职权、玩忽职守、权力寻租、利益输送、徇私舞弊以及浪费公司资财等违纪问题的各类举报。</w:t>
      </w:r>
    </w:p>
    <w:p w14:paraId="38EA5D71">
      <w:pPr>
        <w:adjustRightInd w:val="0"/>
        <w:snapToGrid w:val="0"/>
        <w:spacing w:line="360" w:lineRule="auto"/>
        <w:ind w:firstLine="600" w:firstLineChars="200"/>
        <w:rPr>
          <w:rFonts w:hint="eastAsia" w:ascii="仿宋" w:hAnsi="仿宋" w:eastAsia="仿宋" w:cs="仿宋"/>
          <w:bCs/>
          <w:kern w:val="0"/>
          <w:sz w:val="30"/>
          <w:szCs w:val="30"/>
        </w:rPr>
      </w:pPr>
    </w:p>
    <w:p w14:paraId="7FBA532E">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附件：</w:t>
      </w:r>
    </w:p>
    <w:p w14:paraId="5D07B665">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附件1：报名信息确认表</w:t>
      </w:r>
    </w:p>
    <w:p w14:paraId="3611CF17">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附件2：法定代表人授权委托书 &amp; 法定代表人身份证明</w:t>
      </w:r>
    </w:p>
    <w:p w14:paraId="6AB46ECE">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附件3：项目保密协议——保密承诺书</w:t>
      </w:r>
    </w:p>
    <w:p w14:paraId="13BEAA95">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附件4：关于聘用蒙牛在职人员亲属（含特定关系人）及离职人员的告知函</w:t>
      </w:r>
    </w:p>
    <w:p w14:paraId="6475B7C5">
      <w:pPr>
        <w:adjustRightInd w:val="0"/>
        <w:snapToGrid w:val="0"/>
        <w:spacing w:line="360" w:lineRule="auto"/>
        <w:ind w:firstLine="600" w:firstLineChars="200"/>
        <w:rPr>
          <w:rFonts w:hint="eastAsia" w:ascii="仿宋" w:hAnsi="仿宋" w:eastAsia="仿宋" w:cs="仿宋"/>
          <w:bCs/>
          <w:kern w:val="0"/>
          <w:sz w:val="30"/>
          <w:szCs w:val="30"/>
        </w:rPr>
      </w:pPr>
    </w:p>
    <w:p w14:paraId="723127B4">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内蒙古蒙牛乳业（集团）股份有限公司</w:t>
      </w:r>
    </w:p>
    <w:p w14:paraId="1370313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                                采购中心采购履行四部</w:t>
      </w:r>
    </w:p>
    <w:p w14:paraId="7D9A2D6E">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                               二零二</w:t>
      </w:r>
      <w:r>
        <w:rPr>
          <w:rFonts w:hint="eastAsia" w:ascii="仿宋" w:hAnsi="仿宋" w:eastAsia="仿宋" w:cs="仿宋"/>
          <w:bCs/>
          <w:kern w:val="0"/>
          <w:sz w:val="30"/>
          <w:szCs w:val="30"/>
          <w:lang w:val="en-US" w:eastAsia="zh-CN"/>
        </w:rPr>
        <w:t>六</w:t>
      </w:r>
      <w:r>
        <w:rPr>
          <w:rFonts w:hint="eastAsia" w:ascii="仿宋" w:hAnsi="仿宋" w:eastAsia="仿宋" w:cs="仿宋"/>
          <w:bCs/>
          <w:kern w:val="0"/>
          <w:sz w:val="30"/>
          <w:szCs w:val="30"/>
        </w:rPr>
        <w:t>年</w:t>
      </w:r>
      <w:r>
        <w:rPr>
          <w:rFonts w:hint="eastAsia" w:ascii="仿宋" w:hAnsi="仿宋" w:eastAsia="仿宋" w:cs="仿宋"/>
          <w:bCs/>
          <w:kern w:val="0"/>
          <w:sz w:val="30"/>
          <w:szCs w:val="30"/>
          <w:lang w:val="en-US" w:eastAsia="zh-CN"/>
        </w:rPr>
        <w:t>四</w:t>
      </w:r>
      <w:r>
        <w:rPr>
          <w:rFonts w:hint="eastAsia" w:ascii="仿宋" w:hAnsi="仿宋" w:eastAsia="仿宋" w:cs="仿宋"/>
          <w:bCs/>
          <w:kern w:val="0"/>
          <w:sz w:val="30"/>
          <w:szCs w:val="30"/>
        </w:rPr>
        <w:t>月</w:t>
      </w:r>
      <w:r>
        <w:rPr>
          <w:rFonts w:hint="eastAsia" w:ascii="仿宋" w:hAnsi="仿宋" w:eastAsia="仿宋" w:cs="仿宋"/>
          <w:bCs/>
          <w:kern w:val="0"/>
          <w:sz w:val="30"/>
          <w:szCs w:val="30"/>
          <w:lang w:val="en-US" w:eastAsia="zh-CN"/>
        </w:rPr>
        <w:t>二十三</w:t>
      </w:r>
      <w:r>
        <w:rPr>
          <w:rFonts w:hint="eastAsia" w:ascii="仿宋" w:hAnsi="仿宋" w:eastAsia="仿宋" w:cs="仿宋"/>
          <w:bCs/>
          <w:kern w:val="0"/>
          <w:sz w:val="30"/>
          <w:szCs w:val="30"/>
        </w:rPr>
        <w:t>日</w:t>
      </w:r>
    </w:p>
    <w:p w14:paraId="3D54DAF0">
      <w:pPr>
        <w:adjustRightInd w:val="0"/>
        <w:snapToGrid w:val="0"/>
        <w:spacing w:line="360" w:lineRule="auto"/>
        <w:ind w:firstLine="600" w:firstLineChars="200"/>
        <w:rPr>
          <w:rFonts w:hint="eastAsia" w:ascii="仿宋" w:hAnsi="仿宋" w:eastAsia="仿宋" w:cs="仿宋"/>
          <w:bCs/>
          <w:kern w:val="0"/>
          <w:sz w:val="30"/>
          <w:szCs w:val="30"/>
        </w:rPr>
      </w:pPr>
    </w:p>
    <w:p w14:paraId="47936856">
      <w:pPr>
        <w:adjustRightInd w:val="0"/>
        <w:snapToGrid w:val="0"/>
        <w:spacing w:line="360" w:lineRule="auto"/>
        <w:ind w:firstLine="600" w:firstLineChars="200"/>
        <w:rPr>
          <w:rFonts w:hint="eastAsia" w:ascii="仿宋" w:hAnsi="仿宋" w:eastAsia="仿宋" w:cs="仿宋"/>
          <w:bCs/>
          <w:kern w:val="0"/>
          <w:sz w:val="30"/>
          <w:szCs w:val="30"/>
        </w:rPr>
      </w:pPr>
    </w:p>
    <w:p w14:paraId="77F53EB4">
      <w:pPr>
        <w:adjustRightInd w:val="0"/>
        <w:snapToGrid w:val="0"/>
        <w:spacing w:line="360" w:lineRule="auto"/>
        <w:ind w:firstLine="600" w:firstLineChars="200"/>
        <w:rPr>
          <w:rFonts w:hint="eastAsia" w:ascii="仿宋" w:hAnsi="仿宋" w:eastAsia="仿宋" w:cs="仿宋"/>
          <w:bCs/>
          <w:kern w:val="0"/>
          <w:sz w:val="30"/>
          <w:szCs w:val="30"/>
        </w:rPr>
      </w:pPr>
    </w:p>
    <w:p w14:paraId="6A692C52">
      <w:pPr>
        <w:adjustRightInd w:val="0"/>
        <w:snapToGrid w:val="0"/>
        <w:spacing w:line="360" w:lineRule="auto"/>
        <w:ind w:firstLine="600" w:firstLineChars="200"/>
        <w:rPr>
          <w:rFonts w:hint="eastAsia" w:ascii="仿宋" w:hAnsi="仿宋" w:eastAsia="仿宋" w:cs="仿宋"/>
          <w:bCs/>
          <w:kern w:val="0"/>
          <w:sz w:val="30"/>
          <w:szCs w:val="30"/>
        </w:rPr>
      </w:pPr>
    </w:p>
    <w:p w14:paraId="59945FDA">
      <w:pPr>
        <w:adjustRightInd w:val="0"/>
        <w:snapToGrid w:val="0"/>
        <w:spacing w:line="360" w:lineRule="auto"/>
        <w:ind w:firstLine="600" w:firstLineChars="200"/>
        <w:rPr>
          <w:rFonts w:hint="eastAsia" w:ascii="仿宋" w:hAnsi="仿宋" w:eastAsia="仿宋" w:cs="仿宋"/>
          <w:bCs/>
          <w:kern w:val="0"/>
          <w:sz w:val="30"/>
          <w:szCs w:val="30"/>
        </w:rPr>
      </w:pPr>
    </w:p>
    <w:p w14:paraId="72EE9D6B">
      <w:pPr>
        <w:adjustRightInd w:val="0"/>
        <w:snapToGrid w:val="0"/>
        <w:spacing w:line="360" w:lineRule="auto"/>
        <w:ind w:firstLine="600" w:firstLineChars="200"/>
        <w:rPr>
          <w:rFonts w:hint="eastAsia" w:ascii="仿宋" w:hAnsi="仿宋" w:eastAsia="仿宋" w:cs="仿宋"/>
          <w:bCs/>
          <w:kern w:val="0"/>
          <w:sz w:val="30"/>
          <w:szCs w:val="30"/>
        </w:rPr>
      </w:pPr>
    </w:p>
    <w:p w14:paraId="0A3FAE03">
      <w:pPr>
        <w:adjustRightInd w:val="0"/>
        <w:snapToGrid w:val="0"/>
        <w:spacing w:line="360" w:lineRule="auto"/>
        <w:ind w:firstLine="600" w:firstLineChars="200"/>
        <w:rPr>
          <w:rFonts w:hint="eastAsia" w:ascii="仿宋" w:hAnsi="仿宋" w:eastAsia="仿宋" w:cs="仿宋"/>
          <w:bCs/>
          <w:kern w:val="0"/>
          <w:sz w:val="30"/>
          <w:szCs w:val="30"/>
        </w:rPr>
      </w:pPr>
    </w:p>
    <w:p w14:paraId="77A533E7">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附件1：</w:t>
      </w:r>
    </w:p>
    <w:p w14:paraId="174B07C6">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报名信息确认表</w:t>
      </w:r>
    </w:p>
    <w:tbl>
      <w:tblPr>
        <w:tblStyle w:val="10"/>
        <w:tblW w:w="8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399"/>
        <w:gridCol w:w="1538"/>
        <w:gridCol w:w="1713"/>
        <w:gridCol w:w="1856"/>
      </w:tblGrid>
      <w:tr w14:paraId="4391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85" w:type="dxa"/>
            <w:vAlign w:val="center"/>
          </w:tcPr>
          <w:p w14:paraId="3D383AD7">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序号</w:t>
            </w:r>
          </w:p>
        </w:tc>
        <w:tc>
          <w:tcPr>
            <w:tcW w:w="2399" w:type="dxa"/>
            <w:vAlign w:val="center"/>
          </w:tcPr>
          <w:p w14:paraId="5E81D30C">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单位名称</w:t>
            </w:r>
          </w:p>
        </w:tc>
        <w:tc>
          <w:tcPr>
            <w:tcW w:w="1538" w:type="dxa"/>
            <w:vAlign w:val="center"/>
          </w:tcPr>
          <w:p w14:paraId="7D2DA364">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联系人</w:t>
            </w:r>
          </w:p>
        </w:tc>
        <w:tc>
          <w:tcPr>
            <w:tcW w:w="1713" w:type="dxa"/>
            <w:vAlign w:val="center"/>
          </w:tcPr>
          <w:p w14:paraId="7DEB76C8">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联系电话</w:t>
            </w:r>
          </w:p>
        </w:tc>
        <w:tc>
          <w:tcPr>
            <w:tcW w:w="1856" w:type="dxa"/>
            <w:vAlign w:val="center"/>
          </w:tcPr>
          <w:p w14:paraId="50A08000">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邮箱地址</w:t>
            </w:r>
          </w:p>
        </w:tc>
      </w:tr>
      <w:tr w14:paraId="1871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14:paraId="5378AF11">
            <w:pPr>
              <w:adjustRightInd w:val="0"/>
              <w:snapToGrid w:val="0"/>
              <w:spacing w:line="360" w:lineRule="auto"/>
              <w:ind w:firstLine="600" w:firstLineChars="200"/>
              <w:rPr>
                <w:rFonts w:hint="eastAsia" w:ascii="仿宋" w:hAnsi="仿宋" w:eastAsia="仿宋" w:cs="仿宋"/>
                <w:bCs/>
                <w:kern w:val="0"/>
                <w:sz w:val="30"/>
                <w:szCs w:val="30"/>
              </w:rPr>
            </w:pPr>
          </w:p>
        </w:tc>
        <w:tc>
          <w:tcPr>
            <w:tcW w:w="2399" w:type="dxa"/>
          </w:tcPr>
          <w:p w14:paraId="369C8A55">
            <w:pPr>
              <w:adjustRightInd w:val="0"/>
              <w:snapToGrid w:val="0"/>
              <w:spacing w:line="360" w:lineRule="auto"/>
              <w:ind w:firstLine="600" w:firstLineChars="200"/>
              <w:rPr>
                <w:rFonts w:hint="eastAsia" w:ascii="仿宋" w:hAnsi="仿宋" w:eastAsia="仿宋" w:cs="仿宋"/>
                <w:bCs/>
                <w:kern w:val="0"/>
                <w:sz w:val="30"/>
                <w:szCs w:val="30"/>
              </w:rPr>
            </w:pPr>
          </w:p>
        </w:tc>
        <w:tc>
          <w:tcPr>
            <w:tcW w:w="1538" w:type="dxa"/>
          </w:tcPr>
          <w:p w14:paraId="6D13F8BB">
            <w:pPr>
              <w:adjustRightInd w:val="0"/>
              <w:snapToGrid w:val="0"/>
              <w:spacing w:line="360" w:lineRule="auto"/>
              <w:ind w:firstLine="600" w:firstLineChars="200"/>
              <w:rPr>
                <w:rFonts w:hint="eastAsia" w:ascii="仿宋" w:hAnsi="仿宋" w:eastAsia="仿宋" w:cs="仿宋"/>
                <w:bCs/>
                <w:kern w:val="0"/>
                <w:sz w:val="30"/>
                <w:szCs w:val="30"/>
              </w:rPr>
            </w:pPr>
          </w:p>
        </w:tc>
        <w:tc>
          <w:tcPr>
            <w:tcW w:w="1713" w:type="dxa"/>
          </w:tcPr>
          <w:p w14:paraId="2576A1EE">
            <w:pPr>
              <w:adjustRightInd w:val="0"/>
              <w:snapToGrid w:val="0"/>
              <w:spacing w:line="360" w:lineRule="auto"/>
              <w:ind w:firstLine="600" w:firstLineChars="200"/>
              <w:rPr>
                <w:rFonts w:hint="eastAsia" w:ascii="仿宋" w:hAnsi="仿宋" w:eastAsia="仿宋" w:cs="仿宋"/>
                <w:bCs/>
                <w:kern w:val="0"/>
                <w:sz w:val="30"/>
                <w:szCs w:val="30"/>
              </w:rPr>
            </w:pPr>
          </w:p>
        </w:tc>
        <w:tc>
          <w:tcPr>
            <w:tcW w:w="1856" w:type="dxa"/>
          </w:tcPr>
          <w:p w14:paraId="49B64FC4">
            <w:pPr>
              <w:adjustRightInd w:val="0"/>
              <w:snapToGrid w:val="0"/>
              <w:spacing w:line="360" w:lineRule="auto"/>
              <w:ind w:firstLine="600" w:firstLineChars="200"/>
              <w:rPr>
                <w:rFonts w:hint="eastAsia" w:ascii="仿宋" w:hAnsi="仿宋" w:eastAsia="仿宋" w:cs="仿宋"/>
                <w:bCs/>
                <w:kern w:val="0"/>
                <w:sz w:val="30"/>
                <w:szCs w:val="30"/>
              </w:rPr>
            </w:pPr>
          </w:p>
        </w:tc>
      </w:tr>
      <w:tr w14:paraId="63B8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14:paraId="311479FF">
            <w:pPr>
              <w:adjustRightInd w:val="0"/>
              <w:snapToGrid w:val="0"/>
              <w:spacing w:line="360" w:lineRule="auto"/>
              <w:ind w:firstLine="600" w:firstLineChars="200"/>
              <w:rPr>
                <w:rFonts w:hint="eastAsia" w:ascii="仿宋" w:hAnsi="仿宋" w:eastAsia="仿宋" w:cs="仿宋"/>
                <w:bCs/>
                <w:kern w:val="0"/>
                <w:sz w:val="30"/>
                <w:szCs w:val="30"/>
              </w:rPr>
            </w:pPr>
          </w:p>
        </w:tc>
        <w:tc>
          <w:tcPr>
            <w:tcW w:w="2399" w:type="dxa"/>
          </w:tcPr>
          <w:p w14:paraId="07F732AB">
            <w:pPr>
              <w:adjustRightInd w:val="0"/>
              <w:snapToGrid w:val="0"/>
              <w:spacing w:line="360" w:lineRule="auto"/>
              <w:ind w:firstLine="600" w:firstLineChars="200"/>
              <w:rPr>
                <w:rFonts w:hint="eastAsia" w:ascii="仿宋" w:hAnsi="仿宋" w:eastAsia="仿宋" w:cs="仿宋"/>
                <w:bCs/>
                <w:kern w:val="0"/>
                <w:sz w:val="30"/>
                <w:szCs w:val="30"/>
              </w:rPr>
            </w:pPr>
          </w:p>
        </w:tc>
        <w:tc>
          <w:tcPr>
            <w:tcW w:w="1538" w:type="dxa"/>
          </w:tcPr>
          <w:p w14:paraId="1A1BAA48">
            <w:pPr>
              <w:adjustRightInd w:val="0"/>
              <w:snapToGrid w:val="0"/>
              <w:spacing w:line="360" w:lineRule="auto"/>
              <w:ind w:firstLine="600" w:firstLineChars="200"/>
              <w:rPr>
                <w:rFonts w:hint="eastAsia" w:ascii="仿宋" w:hAnsi="仿宋" w:eastAsia="仿宋" w:cs="仿宋"/>
                <w:bCs/>
                <w:kern w:val="0"/>
                <w:sz w:val="30"/>
                <w:szCs w:val="30"/>
              </w:rPr>
            </w:pPr>
          </w:p>
        </w:tc>
        <w:tc>
          <w:tcPr>
            <w:tcW w:w="1713" w:type="dxa"/>
          </w:tcPr>
          <w:p w14:paraId="3B9BE2A1">
            <w:pPr>
              <w:adjustRightInd w:val="0"/>
              <w:snapToGrid w:val="0"/>
              <w:spacing w:line="360" w:lineRule="auto"/>
              <w:ind w:firstLine="600" w:firstLineChars="200"/>
              <w:rPr>
                <w:rFonts w:hint="eastAsia" w:ascii="仿宋" w:hAnsi="仿宋" w:eastAsia="仿宋" w:cs="仿宋"/>
                <w:bCs/>
                <w:kern w:val="0"/>
                <w:sz w:val="30"/>
                <w:szCs w:val="30"/>
              </w:rPr>
            </w:pPr>
          </w:p>
        </w:tc>
        <w:tc>
          <w:tcPr>
            <w:tcW w:w="1856" w:type="dxa"/>
          </w:tcPr>
          <w:p w14:paraId="5A890209">
            <w:pPr>
              <w:adjustRightInd w:val="0"/>
              <w:snapToGrid w:val="0"/>
              <w:spacing w:line="360" w:lineRule="auto"/>
              <w:ind w:firstLine="600" w:firstLineChars="200"/>
              <w:rPr>
                <w:rFonts w:hint="eastAsia" w:ascii="仿宋" w:hAnsi="仿宋" w:eastAsia="仿宋" w:cs="仿宋"/>
                <w:bCs/>
                <w:kern w:val="0"/>
                <w:sz w:val="30"/>
                <w:szCs w:val="30"/>
              </w:rPr>
            </w:pPr>
          </w:p>
        </w:tc>
      </w:tr>
      <w:tr w14:paraId="011F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14:paraId="74072EA7">
            <w:pPr>
              <w:adjustRightInd w:val="0"/>
              <w:snapToGrid w:val="0"/>
              <w:spacing w:line="360" w:lineRule="auto"/>
              <w:ind w:firstLine="600" w:firstLineChars="200"/>
              <w:rPr>
                <w:rFonts w:hint="eastAsia" w:ascii="仿宋" w:hAnsi="仿宋" w:eastAsia="仿宋" w:cs="仿宋"/>
                <w:bCs/>
                <w:kern w:val="0"/>
                <w:sz w:val="30"/>
                <w:szCs w:val="30"/>
              </w:rPr>
            </w:pPr>
          </w:p>
        </w:tc>
        <w:tc>
          <w:tcPr>
            <w:tcW w:w="2399" w:type="dxa"/>
          </w:tcPr>
          <w:p w14:paraId="110F09EF">
            <w:pPr>
              <w:adjustRightInd w:val="0"/>
              <w:snapToGrid w:val="0"/>
              <w:spacing w:line="360" w:lineRule="auto"/>
              <w:ind w:firstLine="600" w:firstLineChars="200"/>
              <w:rPr>
                <w:rFonts w:hint="eastAsia" w:ascii="仿宋" w:hAnsi="仿宋" w:eastAsia="仿宋" w:cs="仿宋"/>
                <w:bCs/>
                <w:kern w:val="0"/>
                <w:sz w:val="30"/>
                <w:szCs w:val="30"/>
              </w:rPr>
            </w:pPr>
          </w:p>
        </w:tc>
        <w:tc>
          <w:tcPr>
            <w:tcW w:w="1538" w:type="dxa"/>
          </w:tcPr>
          <w:p w14:paraId="3A3B6BB0">
            <w:pPr>
              <w:adjustRightInd w:val="0"/>
              <w:snapToGrid w:val="0"/>
              <w:spacing w:line="360" w:lineRule="auto"/>
              <w:ind w:firstLine="600" w:firstLineChars="200"/>
              <w:rPr>
                <w:rFonts w:hint="eastAsia" w:ascii="仿宋" w:hAnsi="仿宋" w:eastAsia="仿宋" w:cs="仿宋"/>
                <w:bCs/>
                <w:kern w:val="0"/>
                <w:sz w:val="30"/>
                <w:szCs w:val="30"/>
              </w:rPr>
            </w:pPr>
          </w:p>
        </w:tc>
        <w:tc>
          <w:tcPr>
            <w:tcW w:w="1713" w:type="dxa"/>
          </w:tcPr>
          <w:p w14:paraId="12E370F1">
            <w:pPr>
              <w:adjustRightInd w:val="0"/>
              <w:snapToGrid w:val="0"/>
              <w:spacing w:line="360" w:lineRule="auto"/>
              <w:ind w:firstLine="600" w:firstLineChars="200"/>
              <w:rPr>
                <w:rFonts w:hint="eastAsia" w:ascii="仿宋" w:hAnsi="仿宋" w:eastAsia="仿宋" w:cs="仿宋"/>
                <w:bCs/>
                <w:kern w:val="0"/>
                <w:sz w:val="30"/>
                <w:szCs w:val="30"/>
              </w:rPr>
            </w:pPr>
          </w:p>
        </w:tc>
        <w:tc>
          <w:tcPr>
            <w:tcW w:w="1856" w:type="dxa"/>
          </w:tcPr>
          <w:p w14:paraId="70C1BC27">
            <w:pPr>
              <w:adjustRightInd w:val="0"/>
              <w:snapToGrid w:val="0"/>
              <w:spacing w:line="360" w:lineRule="auto"/>
              <w:ind w:firstLine="600" w:firstLineChars="200"/>
              <w:rPr>
                <w:rFonts w:hint="eastAsia" w:ascii="仿宋" w:hAnsi="仿宋" w:eastAsia="仿宋" w:cs="仿宋"/>
                <w:bCs/>
                <w:kern w:val="0"/>
                <w:sz w:val="30"/>
                <w:szCs w:val="30"/>
              </w:rPr>
            </w:pPr>
          </w:p>
        </w:tc>
      </w:tr>
      <w:tr w14:paraId="3477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14:paraId="43C2E9FC">
            <w:pPr>
              <w:adjustRightInd w:val="0"/>
              <w:snapToGrid w:val="0"/>
              <w:spacing w:line="360" w:lineRule="auto"/>
              <w:ind w:firstLine="600" w:firstLineChars="200"/>
              <w:rPr>
                <w:rFonts w:hint="eastAsia" w:ascii="仿宋" w:hAnsi="仿宋" w:eastAsia="仿宋" w:cs="仿宋"/>
                <w:bCs/>
                <w:kern w:val="0"/>
                <w:sz w:val="30"/>
                <w:szCs w:val="30"/>
              </w:rPr>
            </w:pPr>
          </w:p>
        </w:tc>
        <w:tc>
          <w:tcPr>
            <w:tcW w:w="2399" w:type="dxa"/>
          </w:tcPr>
          <w:p w14:paraId="09DAD810">
            <w:pPr>
              <w:adjustRightInd w:val="0"/>
              <w:snapToGrid w:val="0"/>
              <w:spacing w:line="360" w:lineRule="auto"/>
              <w:ind w:firstLine="600" w:firstLineChars="200"/>
              <w:rPr>
                <w:rFonts w:hint="eastAsia" w:ascii="仿宋" w:hAnsi="仿宋" w:eastAsia="仿宋" w:cs="仿宋"/>
                <w:bCs/>
                <w:kern w:val="0"/>
                <w:sz w:val="30"/>
                <w:szCs w:val="30"/>
              </w:rPr>
            </w:pPr>
          </w:p>
        </w:tc>
        <w:tc>
          <w:tcPr>
            <w:tcW w:w="1538" w:type="dxa"/>
          </w:tcPr>
          <w:p w14:paraId="51039491">
            <w:pPr>
              <w:adjustRightInd w:val="0"/>
              <w:snapToGrid w:val="0"/>
              <w:spacing w:line="360" w:lineRule="auto"/>
              <w:ind w:firstLine="600" w:firstLineChars="200"/>
              <w:rPr>
                <w:rFonts w:hint="eastAsia" w:ascii="仿宋" w:hAnsi="仿宋" w:eastAsia="仿宋" w:cs="仿宋"/>
                <w:bCs/>
                <w:kern w:val="0"/>
                <w:sz w:val="30"/>
                <w:szCs w:val="30"/>
              </w:rPr>
            </w:pPr>
          </w:p>
        </w:tc>
        <w:tc>
          <w:tcPr>
            <w:tcW w:w="1713" w:type="dxa"/>
          </w:tcPr>
          <w:p w14:paraId="61925DD1">
            <w:pPr>
              <w:adjustRightInd w:val="0"/>
              <w:snapToGrid w:val="0"/>
              <w:spacing w:line="360" w:lineRule="auto"/>
              <w:ind w:firstLine="600" w:firstLineChars="200"/>
              <w:rPr>
                <w:rFonts w:hint="eastAsia" w:ascii="仿宋" w:hAnsi="仿宋" w:eastAsia="仿宋" w:cs="仿宋"/>
                <w:bCs/>
                <w:kern w:val="0"/>
                <w:sz w:val="30"/>
                <w:szCs w:val="30"/>
              </w:rPr>
            </w:pPr>
          </w:p>
        </w:tc>
        <w:tc>
          <w:tcPr>
            <w:tcW w:w="1856" w:type="dxa"/>
          </w:tcPr>
          <w:p w14:paraId="54F42EED">
            <w:pPr>
              <w:adjustRightInd w:val="0"/>
              <w:snapToGrid w:val="0"/>
              <w:spacing w:line="360" w:lineRule="auto"/>
              <w:ind w:firstLine="600" w:firstLineChars="200"/>
              <w:rPr>
                <w:rFonts w:hint="eastAsia" w:ascii="仿宋" w:hAnsi="仿宋" w:eastAsia="仿宋" w:cs="仿宋"/>
                <w:bCs/>
                <w:kern w:val="0"/>
                <w:sz w:val="30"/>
                <w:szCs w:val="30"/>
              </w:rPr>
            </w:pPr>
          </w:p>
        </w:tc>
      </w:tr>
      <w:tr w14:paraId="2346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14:paraId="34D30822">
            <w:pPr>
              <w:adjustRightInd w:val="0"/>
              <w:snapToGrid w:val="0"/>
              <w:spacing w:line="360" w:lineRule="auto"/>
              <w:ind w:firstLine="600" w:firstLineChars="200"/>
              <w:rPr>
                <w:rFonts w:hint="eastAsia" w:ascii="仿宋" w:hAnsi="仿宋" w:eastAsia="仿宋" w:cs="仿宋"/>
                <w:bCs/>
                <w:kern w:val="0"/>
                <w:sz w:val="30"/>
                <w:szCs w:val="30"/>
              </w:rPr>
            </w:pPr>
          </w:p>
        </w:tc>
        <w:tc>
          <w:tcPr>
            <w:tcW w:w="2399" w:type="dxa"/>
          </w:tcPr>
          <w:p w14:paraId="770E70C5">
            <w:pPr>
              <w:adjustRightInd w:val="0"/>
              <w:snapToGrid w:val="0"/>
              <w:spacing w:line="360" w:lineRule="auto"/>
              <w:ind w:firstLine="600" w:firstLineChars="200"/>
              <w:rPr>
                <w:rFonts w:hint="eastAsia" w:ascii="仿宋" w:hAnsi="仿宋" w:eastAsia="仿宋" w:cs="仿宋"/>
                <w:bCs/>
                <w:kern w:val="0"/>
                <w:sz w:val="30"/>
                <w:szCs w:val="30"/>
              </w:rPr>
            </w:pPr>
          </w:p>
        </w:tc>
        <w:tc>
          <w:tcPr>
            <w:tcW w:w="1538" w:type="dxa"/>
          </w:tcPr>
          <w:p w14:paraId="5ACAC106">
            <w:pPr>
              <w:adjustRightInd w:val="0"/>
              <w:snapToGrid w:val="0"/>
              <w:spacing w:line="360" w:lineRule="auto"/>
              <w:ind w:firstLine="600" w:firstLineChars="200"/>
              <w:rPr>
                <w:rFonts w:hint="eastAsia" w:ascii="仿宋" w:hAnsi="仿宋" w:eastAsia="仿宋" w:cs="仿宋"/>
                <w:bCs/>
                <w:kern w:val="0"/>
                <w:sz w:val="30"/>
                <w:szCs w:val="30"/>
              </w:rPr>
            </w:pPr>
          </w:p>
        </w:tc>
        <w:tc>
          <w:tcPr>
            <w:tcW w:w="1713" w:type="dxa"/>
          </w:tcPr>
          <w:p w14:paraId="1E4DAD01">
            <w:pPr>
              <w:adjustRightInd w:val="0"/>
              <w:snapToGrid w:val="0"/>
              <w:spacing w:line="360" w:lineRule="auto"/>
              <w:ind w:firstLine="600" w:firstLineChars="200"/>
              <w:rPr>
                <w:rFonts w:hint="eastAsia" w:ascii="仿宋" w:hAnsi="仿宋" w:eastAsia="仿宋" w:cs="仿宋"/>
                <w:bCs/>
                <w:kern w:val="0"/>
                <w:sz w:val="30"/>
                <w:szCs w:val="30"/>
              </w:rPr>
            </w:pPr>
          </w:p>
        </w:tc>
        <w:tc>
          <w:tcPr>
            <w:tcW w:w="1856" w:type="dxa"/>
          </w:tcPr>
          <w:p w14:paraId="34CB343F">
            <w:pPr>
              <w:adjustRightInd w:val="0"/>
              <w:snapToGrid w:val="0"/>
              <w:spacing w:line="360" w:lineRule="auto"/>
              <w:ind w:firstLine="600" w:firstLineChars="200"/>
              <w:rPr>
                <w:rFonts w:hint="eastAsia" w:ascii="仿宋" w:hAnsi="仿宋" w:eastAsia="仿宋" w:cs="仿宋"/>
                <w:bCs/>
                <w:kern w:val="0"/>
                <w:sz w:val="30"/>
                <w:szCs w:val="30"/>
              </w:rPr>
            </w:pPr>
          </w:p>
        </w:tc>
      </w:tr>
    </w:tbl>
    <w:p w14:paraId="4E0836EF">
      <w:pPr>
        <w:adjustRightInd w:val="0"/>
        <w:snapToGrid w:val="0"/>
        <w:spacing w:line="360" w:lineRule="auto"/>
        <w:ind w:firstLine="600" w:firstLineChars="200"/>
        <w:rPr>
          <w:rFonts w:hint="eastAsia" w:ascii="仿宋" w:hAnsi="仿宋" w:eastAsia="仿宋" w:cs="仿宋"/>
          <w:bCs/>
          <w:kern w:val="0"/>
          <w:sz w:val="30"/>
          <w:szCs w:val="30"/>
        </w:rPr>
      </w:pPr>
    </w:p>
    <w:p w14:paraId="4F5675A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供应商签章（公章）：</w:t>
      </w:r>
    </w:p>
    <w:p w14:paraId="699F8D5E">
      <w:pPr>
        <w:adjustRightInd w:val="0"/>
        <w:snapToGrid w:val="0"/>
        <w:spacing w:line="360" w:lineRule="auto"/>
        <w:ind w:firstLine="600" w:firstLineChars="200"/>
        <w:rPr>
          <w:rFonts w:hint="eastAsia" w:ascii="仿宋" w:hAnsi="仿宋" w:eastAsia="仿宋" w:cs="仿宋"/>
          <w:bCs/>
          <w:kern w:val="0"/>
          <w:sz w:val="30"/>
          <w:szCs w:val="30"/>
        </w:rPr>
        <w:sectPr>
          <w:pgSz w:w="11906" w:h="16838"/>
          <w:pgMar w:top="1134" w:right="1588" w:bottom="2098" w:left="1474" w:header="851" w:footer="992" w:gutter="0"/>
          <w:cols w:space="720" w:num="1"/>
          <w:docGrid w:type="lines" w:linePitch="312" w:charSpace="0"/>
        </w:sectPr>
      </w:pPr>
    </w:p>
    <w:p w14:paraId="39CC150A">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附件2：法定代表人授权委托书</w:t>
      </w:r>
    </w:p>
    <w:p w14:paraId="1225B720">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法定代表人授权委托书</w:t>
      </w:r>
    </w:p>
    <w:p w14:paraId="6431C266">
      <w:pPr>
        <w:adjustRightInd w:val="0"/>
        <w:snapToGrid w:val="0"/>
        <w:spacing w:line="360" w:lineRule="auto"/>
        <w:ind w:firstLine="600" w:firstLineChars="200"/>
        <w:rPr>
          <w:rFonts w:hint="eastAsia" w:ascii="仿宋" w:hAnsi="仿宋" w:eastAsia="仿宋" w:cs="仿宋"/>
          <w:bCs/>
          <w:kern w:val="0"/>
          <w:sz w:val="30"/>
          <w:szCs w:val="30"/>
        </w:rPr>
      </w:pPr>
    </w:p>
    <w:p w14:paraId="178A20FB">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内蒙古蒙牛乳业（集团）股份有限公司：</w:t>
      </w:r>
    </w:p>
    <w:p w14:paraId="3B1E2AF5">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                            （投标单位名称）法定代表人       授权    （全权代表姓名）为全权代表，参加贵方组织的常温</w:t>
      </w:r>
      <w:r>
        <w:rPr>
          <w:rFonts w:hint="eastAsia" w:ascii="仿宋" w:hAnsi="仿宋" w:eastAsia="仿宋" w:cs="仿宋"/>
          <w:bCs/>
          <w:kern w:val="0"/>
          <w:sz w:val="30"/>
          <w:szCs w:val="30"/>
          <w:lang w:val="en-US" w:eastAsia="zh-CN"/>
        </w:rPr>
        <w:t>特通业务部整车、零担</w:t>
      </w:r>
      <w:r>
        <w:rPr>
          <w:rFonts w:hint="eastAsia" w:ascii="仿宋" w:hAnsi="仿宋" w:eastAsia="仿宋" w:cs="仿宋"/>
          <w:bCs/>
          <w:kern w:val="0"/>
          <w:sz w:val="30"/>
          <w:szCs w:val="30"/>
        </w:rPr>
        <w:t>配送采招项目，全权处理竞谈活动中的一切事宜。我单位对被授权人的签名负全部责任，被授权人签署的文件（在授权书有效期内签署的）不因授权的撤销和到期而失效。</w:t>
      </w:r>
    </w:p>
    <w:p w14:paraId="3725548A">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法定代表人授权委托书有效期202</w:t>
      </w:r>
      <w:r>
        <w:rPr>
          <w:rFonts w:hint="eastAsia" w:ascii="仿宋" w:hAnsi="仿宋" w:eastAsia="仿宋" w:cs="仿宋"/>
          <w:bCs/>
          <w:kern w:val="0"/>
          <w:sz w:val="30"/>
          <w:szCs w:val="30"/>
          <w:lang w:val="en-US" w:eastAsia="zh-CN"/>
        </w:rPr>
        <w:t>6</w:t>
      </w:r>
      <w:r>
        <w:rPr>
          <w:rFonts w:hint="eastAsia" w:ascii="仿宋" w:hAnsi="仿宋" w:eastAsia="仿宋" w:cs="仿宋"/>
          <w:bCs/>
          <w:kern w:val="0"/>
          <w:sz w:val="30"/>
          <w:szCs w:val="30"/>
        </w:rPr>
        <w:t>年</w:t>
      </w:r>
      <w:r>
        <w:rPr>
          <w:rFonts w:hint="eastAsia" w:ascii="仿宋" w:hAnsi="仿宋" w:eastAsia="仿宋" w:cs="仿宋"/>
          <w:bCs/>
          <w:kern w:val="0"/>
          <w:sz w:val="30"/>
          <w:szCs w:val="30"/>
          <w:lang w:val="en-US" w:eastAsia="zh-CN"/>
        </w:rPr>
        <w:t>4</w:t>
      </w:r>
      <w:r>
        <w:rPr>
          <w:rFonts w:hint="eastAsia" w:ascii="仿宋" w:hAnsi="仿宋" w:eastAsia="仿宋" w:cs="仿宋"/>
          <w:bCs/>
          <w:kern w:val="0"/>
          <w:sz w:val="30"/>
          <w:szCs w:val="30"/>
        </w:rPr>
        <w:t>月</w:t>
      </w:r>
      <w:r>
        <w:rPr>
          <w:rFonts w:hint="eastAsia" w:ascii="仿宋" w:hAnsi="仿宋" w:eastAsia="仿宋" w:cs="仿宋"/>
          <w:bCs/>
          <w:kern w:val="0"/>
          <w:sz w:val="30"/>
          <w:szCs w:val="30"/>
          <w:lang w:val="en-US" w:eastAsia="zh-CN"/>
        </w:rPr>
        <w:t>23</w:t>
      </w:r>
      <w:r>
        <w:rPr>
          <w:rFonts w:hint="eastAsia" w:ascii="仿宋" w:hAnsi="仿宋" w:eastAsia="仿宋" w:cs="仿宋"/>
          <w:bCs/>
          <w:kern w:val="0"/>
          <w:sz w:val="30"/>
          <w:szCs w:val="30"/>
        </w:rPr>
        <w:t>日至202</w:t>
      </w:r>
      <w:r>
        <w:rPr>
          <w:rFonts w:hint="eastAsia" w:ascii="仿宋" w:hAnsi="仿宋" w:eastAsia="仿宋" w:cs="仿宋"/>
          <w:bCs/>
          <w:kern w:val="0"/>
          <w:sz w:val="30"/>
          <w:szCs w:val="30"/>
          <w:lang w:val="en-US" w:eastAsia="zh-CN"/>
        </w:rPr>
        <w:t>6</w:t>
      </w:r>
      <w:r>
        <w:rPr>
          <w:rFonts w:hint="eastAsia" w:ascii="仿宋" w:hAnsi="仿宋" w:eastAsia="仿宋" w:cs="仿宋"/>
          <w:bCs/>
          <w:kern w:val="0"/>
          <w:sz w:val="30"/>
          <w:szCs w:val="30"/>
        </w:rPr>
        <w:t>年</w:t>
      </w:r>
      <w:r>
        <w:rPr>
          <w:rFonts w:hint="eastAsia" w:ascii="仿宋" w:hAnsi="仿宋" w:eastAsia="仿宋" w:cs="仿宋"/>
          <w:bCs/>
          <w:kern w:val="0"/>
          <w:sz w:val="30"/>
          <w:szCs w:val="30"/>
          <w:lang w:val="en-US" w:eastAsia="zh-CN"/>
        </w:rPr>
        <w:t>5</w:t>
      </w:r>
      <w:r>
        <w:rPr>
          <w:rFonts w:hint="eastAsia" w:ascii="仿宋" w:hAnsi="仿宋" w:eastAsia="仿宋" w:cs="仿宋"/>
          <w:bCs/>
          <w:kern w:val="0"/>
          <w:sz w:val="30"/>
          <w:szCs w:val="30"/>
        </w:rPr>
        <w:t>月3</w:t>
      </w:r>
      <w:r>
        <w:rPr>
          <w:rFonts w:hint="eastAsia" w:ascii="仿宋" w:hAnsi="仿宋" w:eastAsia="仿宋" w:cs="仿宋"/>
          <w:bCs/>
          <w:kern w:val="0"/>
          <w:sz w:val="30"/>
          <w:szCs w:val="30"/>
          <w:lang w:val="en-US" w:eastAsia="zh-CN"/>
        </w:rPr>
        <w:t>0</w:t>
      </w:r>
      <w:r>
        <w:rPr>
          <w:rFonts w:hint="eastAsia" w:ascii="仿宋" w:hAnsi="仿宋" w:eastAsia="仿宋" w:cs="仿宋"/>
          <w:bCs/>
          <w:kern w:val="0"/>
          <w:sz w:val="30"/>
          <w:szCs w:val="30"/>
        </w:rPr>
        <w:t>日</w:t>
      </w:r>
    </w:p>
    <w:p w14:paraId="7AF7403F">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竞谈单位全称（公章）：</w:t>
      </w:r>
    </w:p>
    <w:p w14:paraId="43891322">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法定代表人（手写签字或印章）：            </w:t>
      </w:r>
    </w:p>
    <w:p w14:paraId="39FC2D78">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授权委托人（手写签字）：      </w:t>
      </w:r>
    </w:p>
    <w:p w14:paraId="756679D1">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身份证号码：</w:t>
      </w:r>
    </w:p>
    <w:p w14:paraId="263A9710">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职务：</w:t>
      </w:r>
    </w:p>
    <w:p w14:paraId="3A4E608F">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    年    月   日   </w:t>
      </w:r>
    </w:p>
    <w:p w14:paraId="31F3A2F8">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附：</w:t>
      </w:r>
    </w:p>
    <w:tbl>
      <w:tblPr>
        <w:tblStyle w:val="10"/>
        <w:tblW w:w="90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27"/>
        <w:gridCol w:w="4527"/>
      </w:tblGrid>
      <w:tr w14:paraId="52A1F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67" w:hRule="atLeast"/>
          <w:jc w:val="center"/>
        </w:trPr>
        <w:tc>
          <w:tcPr>
            <w:tcW w:w="4527" w:type="dxa"/>
          </w:tcPr>
          <w:p w14:paraId="72B2B634">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mc:AlternateContent>
                <mc:Choice Requires="wps">
                  <w:drawing>
                    <wp:anchor distT="0" distB="0" distL="114300" distR="114300" simplePos="0" relativeHeight="251660288" behindDoc="0" locked="0" layoutInCell="1" allowOverlap="1">
                      <wp:simplePos x="0" y="0"/>
                      <wp:positionH relativeFrom="column">
                        <wp:posOffset>725805</wp:posOffset>
                      </wp:positionH>
                      <wp:positionV relativeFrom="paragraph">
                        <wp:posOffset>2467610</wp:posOffset>
                      </wp:positionV>
                      <wp:extent cx="1098550" cy="412750"/>
                      <wp:effectExtent l="6350" t="10795" r="9525" b="5080"/>
                      <wp:wrapNone/>
                      <wp:docPr id="4" name="AutoShape 3"/>
                      <wp:cNvGraphicFramePr/>
                      <a:graphic xmlns:a="http://schemas.openxmlformats.org/drawingml/2006/main">
                        <a:graphicData uri="http://schemas.microsoft.com/office/word/2010/wordprocessingShape">
                          <wps:wsp>
                            <wps:cNvSpPr>
                              <a:spLocks noChangeArrowheads="1"/>
                            </wps:cNvSpPr>
                            <wps:spPr bwMode="auto">
                              <a:xfrm>
                                <a:off x="0" y="0"/>
                                <a:ext cx="1098550" cy="412750"/>
                              </a:xfrm>
                              <a:prstGeom prst="roundRect">
                                <a:avLst>
                                  <a:gd name="adj" fmla="val 16667"/>
                                </a:avLst>
                              </a:prstGeom>
                              <a:solidFill>
                                <a:srgbClr val="FFFFFF"/>
                              </a:solidFill>
                              <a:ln w="9525">
                                <a:solidFill>
                                  <a:srgbClr val="000000"/>
                                </a:solidFill>
                                <a:round/>
                              </a:ln>
                            </wps:spPr>
                            <wps:txbx>
                              <w:txbxContent>
                                <w:p w14:paraId="36244D64">
                                  <w:pPr>
                                    <w:jc w:val="center"/>
                                    <w:rPr>
                                      <w:color w:val="808080" w:themeColor="background1" w:themeShade="80"/>
                                    </w:rPr>
                                  </w:pPr>
                                  <w:r>
                                    <w:rPr>
                                      <w:rFonts w:hint="eastAsia"/>
                                      <w:color w:val="808080" w:themeColor="background1" w:themeShade="80"/>
                                    </w:rPr>
                                    <w:t>反</w:t>
                                  </w:r>
                                  <w:r>
                                    <w:rPr>
                                      <w:color w:val="808080" w:themeColor="background1" w:themeShade="80"/>
                                    </w:rPr>
                                    <w:t>面</w:t>
                                  </w:r>
                                </w:p>
                              </w:txbxContent>
                            </wps:txbx>
                            <wps:bodyPr rot="0" vert="horz" wrap="square" lIns="91440" tIns="45720" rIns="91440" bIns="45720" anchor="ctr" anchorCtr="0" upright="1">
                              <a:noAutofit/>
                            </wps:bodyPr>
                          </wps:wsp>
                        </a:graphicData>
                      </a:graphic>
                    </wp:anchor>
                  </w:drawing>
                </mc:Choice>
                <mc:Fallback>
                  <w:pict>
                    <v:roundrect id="AutoShape 3" o:spid="_x0000_s1026" o:spt="2" style="position:absolute;left:0pt;margin-left:57.15pt;margin-top:194.3pt;height:32.5pt;width:86.5pt;z-index:251660288;v-text-anchor:middle;mso-width-relative:page;mso-height-relative:page;" fillcolor="#FFFFFF" filled="t" stroked="t" coordsize="21600,21600" arcsize="0.166666666666667" o:gfxdata="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AsbztkAAAALAQAADwAAAAAAAAABACAAAAAiAAAA&#10;ZHJzL2Rvd25yZXYueG1sUEsBAhQAFAAAAAgAh07iQMh8AsA/AgAAowQAAA4AAAAAAAAAAQAgAAAA&#10;KAEAAGRycy9lMm9Eb2MueG1sUEsFBgAAAAAGAAYAWQEAANkFAAAAAA==&#10;">
                      <v:fill on="t" focussize="0,0"/>
                      <v:stroke color="#000000" joinstyle="round"/>
                      <v:imagedata o:title=""/>
                      <o:lock v:ext="edit" aspectratio="f"/>
                      <v:textbox>
                        <w:txbxContent>
                          <w:p w14:paraId="36244D64">
                            <w:pPr>
                              <w:jc w:val="center"/>
                              <w:rPr>
                                <w:color w:val="808080" w:themeColor="background1" w:themeShade="80"/>
                              </w:rPr>
                            </w:pPr>
                            <w:r>
                              <w:rPr>
                                <w:rFonts w:hint="eastAsia"/>
                                <w:color w:val="808080" w:themeColor="background1" w:themeShade="80"/>
                              </w:rPr>
                              <w:t>反</w:t>
                            </w:r>
                            <w:r>
                              <w:rPr>
                                <w:color w:val="808080" w:themeColor="background1" w:themeShade="80"/>
                              </w:rPr>
                              <w:t>面</w:t>
                            </w:r>
                          </w:p>
                        </w:txbxContent>
                      </v:textbox>
                    </v:roundrect>
                  </w:pict>
                </mc:Fallback>
              </mc:AlternateContent>
            </w:r>
            <w:r>
              <w:rPr>
                <w:rFonts w:hint="eastAsia" w:ascii="仿宋" w:hAnsi="仿宋" w:eastAsia="仿宋" w:cs="仿宋"/>
                <w:bCs/>
                <w:kern w:val="0"/>
                <w:sz w:val="30"/>
                <w:szCs w:val="30"/>
              </w:rPr>
              <mc:AlternateContent>
                <mc:Choice Requires="wps">
                  <w:drawing>
                    <wp:anchor distT="0" distB="0" distL="114300" distR="114300" simplePos="0" relativeHeight="251659264" behindDoc="0" locked="0" layoutInCell="1" allowOverlap="1">
                      <wp:simplePos x="0" y="0"/>
                      <wp:positionH relativeFrom="column">
                        <wp:posOffset>713105</wp:posOffset>
                      </wp:positionH>
                      <wp:positionV relativeFrom="paragraph">
                        <wp:posOffset>816610</wp:posOffset>
                      </wp:positionV>
                      <wp:extent cx="1098550" cy="412750"/>
                      <wp:effectExtent l="12700" t="7620" r="12700" b="8255"/>
                      <wp:wrapNone/>
                      <wp:docPr id="3" name="AutoShape 2"/>
                      <wp:cNvGraphicFramePr/>
                      <a:graphic xmlns:a="http://schemas.openxmlformats.org/drawingml/2006/main">
                        <a:graphicData uri="http://schemas.microsoft.com/office/word/2010/wordprocessingShape">
                          <wps:wsp>
                            <wps:cNvSpPr>
                              <a:spLocks noChangeArrowheads="1"/>
                            </wps:cNvSpPr>
                            <wps:spPr bwMode="auto">
                              <a:xfrm>
                                <a:off x="0" y="0"/>
                                <a:ext cx="1098550" cy="412750"/>
                              </a:xfrm>
                              <a:prstGeom prst="roundRect">
                                <a:avLst>
                                  <a:gd name="adj" fmla="val 16667"/>
                                </a:avLst>
                              </a:prstGeom>
                              <a:solidFill>
                                <a:srgbClr val="FFFFFF"/>
                              </a:solidFill>
                              <a:ln w="9525">
                                <a:solidFill>
                                  <a:srgbClr val="000000"/>
                                </a:solidFill>
                                <a:round/>
                              </a:ln>
                            </wps:spPr>
                            <wps:txbx>
                              <w:txbxContent>
                                <w:p w14:paraId="281B1B4A">
                                  <w:pPr>
                                    <w:jc w:val="center"/>
                                    <w:rPr>
                                      <w:color w:val="808080" w:themeColor="background1" w:themeShade="80"/>
                                    </w:rPr>
                                  </w:pPr>
                                  <w:r>
                                    <w:rPr>
                                      <w:color w:val="808080" w:themeColor="background1" w:themeShade="80"/>
                                    </w:rPr>
                                    <w:t>正面</w:t>
                                  </w:r>
                                </w:p>
                              </w:txbxContent>
                            </wps:txbx>
                            <wps:bodyPr rot="0" vert="horz" wrap="square" lIns="91440" tIns="45720" rIns="91440" bIns="45720" anchor="ctr" anchorCtr="0" upright="1">
                              <a:noAutofit/>
                            </wps:bodyPr>
                          </wps:wsp>
                        </a:graphicData>
                      </a:graphic>
                    </wp:anchor>
                  </w:drawing>
                </mc:Choice>
                <mc:Fallback>
                  <w:pict>
                    <v:roundrect id="AutoShape 2" o:spid="_x0000_s1026" o:spt="2" style="position:absolute;left:0pt;margin-left:56.15pt;margin-top:64.3pt;height:32.5pt;width:86.5pt;z-index:251659264;v-text-anchor:middle;mso-width-relative:page;mso-height-relative:page;" fillcolor="#FFFFFF" filled="t" stroked="t" coordsize="21600,21600" arcsize="0.166666666666667" o:gfxdata="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0HMDZ2AAAAAsBAAAPAAAAAAAAAAEAIAAAACIAAABk&#10;cnMvZG93bnJldi54bWxQSwECFAAUAAAACACHTuJANjxNqz8CAACjBAAADgAAAAAAAAABACAAAAAn&#10;AQAAZHJzL2Uyb0RvYy54bWxQSwUGAAAAAAYABgBZAQAA2AUAAAAA&#10;">
                      <v:fill on="t" focussize="0,0"/>
                      <v:stroke color="#000000" joinstyle="round"/>
                      <v:imagedata o:title=""/>
                      <o:lock v:ext="edit" aspectratio="f"/>
                      <v:textbox>
                        <w:txbxContent>
                          <w:p w14:paraId="281B1B4A">
                            <w:pPr>
                              <w:jc w:val="center"/>
                              <w:rPr>
                                <w:color w:val="808080" w:themeColor="background1" w:themeShade="80"/>
                              </w:rPr>
                            </w:pPr>
                            <w:r>
                              <w:rPr>
                                <w:color w:val="808080" w:themeColor="background1" w:themeShade="80"/>
                              </w:rPr>
                              <w:t>正面</w:t>
                            </w:r>
                          </w:p>
                        </w:txbxContent>
                      </v:textbox>
                    </v:roundrect>
                  </w:pict>
                </mc:Fallback>
              </mc:AlternateContent>
            </w:r>
            <w:r>
              <w:rPr>
                <w:rFonts w:hint="eastAsia" w:ascii="仿宋" w:hAnsi="仿宋" w:eastAsia="仿宋" w:cs="仿宋"/>
                <w:bCs/>
                <w:kern w:val="0"/>
                <w:sz w:val="30"/>
                <w:szCs w:val="30"/>
              </w:rPr>
              <w:t>法定代表人身份证复印件（正反面）</w:t>
            </w:r>
          </w:p>
        </w:tc>
        <w:tc>
          <w:tcPr>
            <w:tcW w:w="4527" w:type="dxa"/>
          </w:tcPr>
          <w:p w14:paraId="140B4AC5">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mc:AlternateContent>
                <mc:Choice Requires="wps">
                  <w:drawing>
                    <wp:anchor distT="0" distB="0" distL="114300" distR="114300" simplePos="0" relativeHeight="251662336" behindDoc="0" locked="0" layoutInCell="1" allowOverlap="1">
                      <wp:simplePos x="0" y="0"/>
                      <wp:positionH relativeFrom="column">
                        <wp:posOffset>905510</wp:posOffset>
                      </wp:positionH>
                      <wp:positionV relativeFrom="paragraph">
                        <wp:posOffset>2477770</wp:posOffset>
                      </wp:positionV>
                      <wp:extent cx="1098550" cy="412750"/>
                      <wp:effectExtent l="12700" t="11430" r="12700" b="13970"/>
                      <wp:wrapNone/>
                      <wp:docPr id="2" name="AutoShape 6"/>
                      <wp:cNvGraphicFramePr/>
                      <a:graphic xmlns:a="http://schemas.openxmlformats.org/drawingml/2006/main">
                        <a:graphicData uri="http://schemas.microsoft.com/office/word/2010/wordprocessingShape">
                          <wps:wsp>
                            <wps:cNvSpPr>
                              <a:spLocks noChangeArrowheads="1"/>
                            </wps:cNvSpPr>
                            <wps:spPr bwMode="auto">
                              <a:xfrm>
                                <a:off x="0" y="0"/>
                                <a:ext cx="1098550" cy="412750"/>
                              </a:xfrm>
                              <a:prstGeom prst="roundRect">
                                <a:avLst>
                                  <a:gd name="adj" fmla="val 16667"/>
                                </a:avLst>
                              </a:prstGeom>
                              <a:solidFill>
                                <a:srgbClr val="FFFFFF"/>
                              </a:solidFill>
                              <a:ln w="9525">
                                <a:solidFill>
                                  <a:srgbClr val="000000"/>
                                </a:solidFill>
                                <a:round/>
                              </a:ln>
                            </wps:spPr>
                            <wps:txbx>
                              <w:txbxContent>
                                <w:p w14:paraId="7C91277B">
                                  <w:pPr>
                                    <w:jc w:val="center"/>
                                    <w:rPr>
                                      <w:color w:val="808080" w:themeColor="background1" w:themeShade="80"/>
                                    </w:rPr>
                                  </w:pPr>
                                  <w:r>
                                    <w:rPr>
                                      <w:rFonts w:hint="eastAsia"/>
                                      <w:color w:val="808080" w:themeColor="background1" w:themeShade="80"/>
                                    </w:rPr>
                                    <w:t>反</w:t>
                                  </w:r>
                                  <w:r>
                                    <w:rPr>
                                      <w:color w:val="808080" w:themeColor="background1" w:themeShade="80"/>
                                    </w:rPr>
                                    <w:t>面</w:t>
                                  </w:r>
                                </w:p>
                              </w:txbxContent>
                            </wps:txbx>
                            <wps:bodyPr rot="0" vert="horz" wrap="square" lIns="91440" tIns="45720" rIns="91440" bIns="45720" anchor="ctr" anchorCtr="0" upright="1">
                              <a:noAutofit/>
                            </wps:bodyPr>
                          </wps:wsp>
                        </a:graphicData>
                      </a:graphic>
                    </wp:anchor>
                  </w:drawing>
                </mc:Choice>
                <mc:Fallback>
                  <w:pict>
                    <v:roundrect id="AutoShape 6" o:spid="_x0000_s1026" o:spt="2" style="position:absolute;left:0pt;margin-left:71.3pt;margin-top:195.1pt;height:32.5pt;width:86.5pt;z-index:251662336;v-text-anchor:middle;mso-width-relative:page;mso-height-relative:page;" fillcolor="#FFFFFF" filled="t" stroked="t" coordsize="21600,21600" arcsize="0.166666666666667" o:gfxdata="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wP4w9kAAAALAQAADwAAAAAAAAABACAAAAAiAAAA&#10;ZHJzL2Rvd25yZXYueG1sUEsBAhQAFAAAAAgAh07iQNijQYk/AgAAowQAAA4AAAAAAAAAAQAgAAAA&#10;KAEAAGRycy9lMm9Eb2MueG1sUEsFBgAAAAAGAAYAWQEAANkFAAAAAA==&#10;">
                      <v:fill on="t" focussize="0,0"/>
                      <v:stroke color="#000000" joinstyle="round"/>
                      <v:imagedata o:title=""/>
                      <o:lock v:ext="edit" aspectratio="f"/>
                      <v:textbox>
                        <w:txbxContent>
                          <w:p w14:paraId="7C91277B">
                            <w:pPr>
                              <w:jc w:val="center"/>
                              <w:rPr>
                                <w:color w:val="808080" w:themeColor="background1" w:themeShade="80"/>
                              </w:rPr>
                            </w:pPr>
                            <w:r>
                              <w:rPr>
                                <w:rFonts w:hint="eastAsia"/>
                                <w:color w:val="808080" w:themeColor="background1" w:themeShade="80"/>
                              </w:rPr>
                              <w:t>反</w:t>
                            </w:r>
                            <w:r>
                              <w:rPr>
                                <w:color w:val="808080" w:themeColor="background1" w:themeShade="80"/>
                              </w:rPr>
                              <w:t>面</w:t>
                            </w:r>
                          </w:p>
                        </w:txbxContent>
                      </v:textbox>
                    </v:roundrect>
                  </w:pict>
                </mc:Fallback>
              </mc:AlternateContent>
            </w:r>
            <w:r>
              <w:rPr>
                <w:rFonts w:hint="eastAsia" w:ascii="仿宋" w:hAnsi="仿宋" w:eastAsia="仿宋" w:cs="仿宋"/>
                <w:bCs/>
                <w:kern w:val="0"/>
                <w:sz w:val="30"/>
                <w:szCs w:val="30"/>
              </w:rPr>
              <mc:AlternateContent>
                <mc:Choice Requires="wps">
                  <w:drawing>
                    <wp:anchor distT="0" distB="0" distL="114300" distR="114300" simplePos="0" relativeHeight="251661312" behindDoc="0" locked="0" layoutInCell="1" allowOverlap="1">
                      <wp:simplePos x="0" y="0"/>
                      <wp:positionH relativeFrom="column">
                        <wp:posOffset>892810</wp:posOffset>
                      </wp:positionH>
                      <wp:positionV relativeFrom="paragraph">
                        <wp:posOffset>826770</wp:posOffset>
                      </wp:positionV>
                      <wp:extent cx="1098550" cy="412750"/>
                      <wp:effectExtent l="9525" t="8255" r="6350" b="7620"/>
                      <wp:wrapNone/>
                      <wp:docPr id="1" name="AutoShape 5"/>
                      <wp:cNvGraphicFramePr/>
                      <a:graphic xmlns:a="http://schemas.openxmlformats.org/drawingml/2006/main">
                        <a:graphicData uri="http://schemas.microsoft.com/office/word/2010/wordprocessingShape">
                          <wps:wsp>
                            <wps:cNvSpPr>
                              <a:spLocks noChangeArrowheads="1"/>
                            </wps:cNvSpPr>
                            <wps:spPr bwMode="auto">
                              <a:xfrm>
                                <a:off x="0" y="0"/>
                                <a:ext cx="1098550" cy="412750"/>
                              </a:xfrm>
                              <a:prstGeom prst="roundRect">
                                <a:avLst>
                                  <a:gd name="adj" fmla="val 16667"/>
                                </a:avLst>
                              </a:prstGeom>
                              <a:solidFill>
                                <a:srgbClr val="FFFFFF"/>
                              </a:solidFill>
                              <a:ln w="9525">
                                <a:solidFill>
                                  <a:srgbClr val="000000"/>
                                </a:solidFill>
                                <a:round/>
                              </a:ln>
                            </wps:spPr>
                            <wps:txbx>
                              <w:txbxContent>
                                <w:p w14:paraId="3306F141">
                                  <w:pPr>
                                    <w:jc w:val="center"/>
                                    <w:rPr>
                                      <w:color w:val="808080" w:themeColor="background1" w:themeShade="80"/>
                                    </w:rPr>
                                  </w:pPr>
                                  <w:r>
                                    <w:rPr>
                                      <w:color w:val="808080" w:themeColor="background1" w:themeShade="80"/>
                                    </w:rPr>
                                    <w:t>正面</w:t>
                                  </w:r>
                                </w:p>
                              </w:txbxContent>
                            </wps:txbx>
                            <wps:bodyPr rot="0" vert="horz" wrap="square" lIns="91440" tIns="45720" rIns="91440" bIns="45720" anchor="ctr" anchorCtr="0" upright="1">
                              <a:noAutofit/>
                            </wps:bodyPr>
                          </wps:wsp>
                        </a:graphicData>
                      </a:graphic>
                    </wp:anchor>
                  </w:drawing>
                </mc:Choice>
                <mc:Fallback>
                  <w:pict>
                    <v:roundrect id="AutoShape 5" o:spid="_x0000_s1026" o:spt="2" style="position:absolute;left:0pt;margin-left:70.3pt;margin-top:65.1pt;height:32.5pt;width:86.5pt;z-index:251661312;v-text-anchor:middle;mso-width-relative:page;mso-height-relative:page;" fillcolor="#FFFFFF" filled="t" stroked="t" coordsize="21600,21600" arcsize="0.166666666666667" o:gfxdata="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Nd2P3YAAAACwEAAA8AAAAAAAAAAQAgAAAAIgAAAGRy&#10;cy9kb3ducmV2LnhtbFBLAQIUABQAAAAIAIdO4kBzjxwxPgIAAKMEAAAOAAAAAAAAAAEAIAAAACcB&#10;AABkcnMvZTJvRG9jLnhtbFBLBQYAAAAABgAGAFkBAADXBQAAAAA=&#10;">
                      <v:fill on="t" focussize="0,0"/>
                      <v:stroke color="#000000" joinstyle="round"/>
                      <v:imagedata o:title=""/>
                      <o:lock v:ext="edit" aspectratio="f"/>
                      <v:textbox>
                        <w:txbxContent>
                          <w:p w14:paraId="3306F141">
                            <w:pPr>
                              <w:jc w:val="center"/>
                              <w:rPr>
                                <w:color w:val="808080" w:themeColor="background1" w:themeShade="80"/>
                              </w:rPr>
                            </w:pPr>
                            <w:r>
                              <w:rPr>
                                <w:color w:val="808080" w:themeColor="background1" w:themeShade="80"/>
                              </w:rPr>
                              <w:t>正面</w:t>
                            </w:r>
                          </w:p>
                        </w:txbxContent>
                      </v:textbox>
                    </v:roundrect>
                  </w:pict>
                </mc:Fallback>
              </mc:AlternateContent>
            </w:r>
            <w:r>
              <w:rPr>
                <w:rFonts w:hint="eastAsia" w:ascii="仿宋" w:hAnsi="仿宋" w:eastAsia="仿宋" w:cs="仿宋"/>
                <w:bCs/>
                <w:kern w:val="0"/>
                <w:sz w:val="30"/>
                <w:szCs w:val="30"/>
              </w:rPr>
              <w:t>授权委托人身份证复印件（正反面）</w:t>
            </w:r>
          </w:p>
        </w:tc>
      </w:tr>
    </w:tbl>
    <w:p w14:paraId="08786F4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br w:type="page"/>
      </w:r>
    </w:p>
    <w:tbl>
      <w:tblPr>
        <w:tblStyle w:val="10"/>
        <w:tblW w:w="9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20"/>
      </w:tblGrid>
      <w:tr w14:paraId="08960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86" w:hRule="atLeast"/>
          <w:jc w:val="center"/>
        </w:trPr>
        <w:tc>
          <w:tcPr>
            <w:tcW w:w="9120" w:type="dxa"/>
          </w:tcPr>
          <w:p w14:paraId="6B37946E">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授权委托人社保证明材料</w:t>
            </w:r>
          </w:p>
          <w:p w14:paraId="3F14B0EA">
            <w:pPr>
              <w:adjustRightInd w:val="0"/>
              <w:snapToGrid w:val="0"/>
              <w:spacing w:line="360" w:lineRule="auto"/>
              <w:ind w:firstLine="600" w:firstLineChars="200"/>
              <w:rPr>
                <w:rFonts w:hint="eastAsia" w:ascii="仿宋" w:hAnsi="仿宋" w:eastAsia="仿宋" w:cs="仿宋"/>
                <w:bCs/>
                <w:kern w:val="0"/>
                <w:sz w:val="30"/>
                <w:szCs w:val="30"/>
              </w:rPr>
            </w:pPr>
          </w:p>
          <w:p w14:paraId="3F686965">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（要求：1、具备社保局出具的材料；2、具备本单位名称及授权委托人姓名。）</w:t>
            </w:r>
          </w:p>
        </w:tc>
      </w:tr>
    </w:tbl>
    <w:p w14:paraId="5139E471">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br w:type="page"/>
      </w:r>
    </w:p>
    <w:p w14:paraId="418F1AF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法定代表人身份证明</w:t>
      </w:r>
    </w:p>
    <w:p w14:paraId="6FAA101C">
      <w:pPr>
        <w:adjustRightInd w:val="0"/>
        <w:snapToGrid w:val="0"/>
        <w:spacing w:line="360" w:lineRule="auto"/>
        <w:ind w:firstLine="600" w:firstLineChars="200"/>
        <w:rPr>
          <w:rFonts w:hint="eastAsia" w:ascii="仿宋" w:hAnsi="仿宋" w:eastAsia="仿宋" w:cs="仿宋"/>
          <w:bCs/>
          <w:kern w:val="0"/>
          <w:sz w:val="30"/>
          <w:szCs w:val="30"/>
        </w:rPr>
      </w:pPr>
    </w:p>
    <w:p w14:paraId="039C6F60">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投标单位名称：                             </w:t>
      </w:r>
    </w:p>
    <w:p w14:paraId="4275E217">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单位性质：                                </w:t>
      </w:r>
    </w:p>
    <w:p w14:paraId="02A0EC8A">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地    址：                                   </w:t>
      </w:r>
    </w:p>
    <w:p w14:paraId="37B77FF4">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成立时间：          年        月        日</w:t>
      </w:r>
    </w:p>
    <w:p w14:paraId="63004B5F">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经营期限：                               </w:t>
      </w:r>
    </w:p>
    <w:p w14:paraId="1DCC7A80">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 xml:space="preserve">姓名：     ， 性别：   ，身份证号码：             ，职务：       </w:t>
      </w:r>
    </w:p>
    <w:p w14:paraId="470C3DE5">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系             公司 的法定代表人。</w:t>
      </w:r>
    </w:p>
    <w:p w14:paraId="0479E829">
      <w:pPr>
        <w:adjustRightInd w:val="0"/>
        <w:snapToGrid w:val="0"/>
        <w:spacing w:line="360" w:lineRule="auto"/>
        <w:ind w:firstLine="600" w:firstLineChars="200"/>
        <w:rPr>
          <w:rFonts w:hint="eastAsia" w:ascii="仿宋" w:hAnsi="仿宋" w:eastAsia="仿宋" w:cs="仿宋"/>
          <w:bCs/>
          <w:kern w:val="0"/>
          <w:sz w:val="30"/>
          <w:szCs w:val="30"/>
        </w:rPr>
      </w:pPr>
      <w:r>
        <w:rPr>
          <w:rFonts w:hint="eastAsia" w:ascii="仿宋" w:hAnsi="仿宋" w:eastAsia="仿宋" w:cs="仿宋"/>
          <w:bCs/>
          <w:kern w:val="0"/>
          <w:sz w:val="30"/>
          <w:szCs w:val="30"/>
        </w:rPr>
        <w:t>特此证明。</w:t>
      </w:r>
    </w:p>
    <w:p w14:paraId="5E085C3E">
      <w:pPr>
        <w:spacing w:line="360" w:lineRule="auto"/>
        <w:rPr>
          <w:rFonts w:ascii="仿宋" w:hAnsi="仿宋" w:eastAsia="仿宋" w:cs="仿宋"/>
          <w:sz w:val="24"/>
        </w:rPr>
      </w:pPr>
    </w:p>
    <w:p w14:paraId="03A501AF">
      <w:pPr>
        <w:spacing w:line="360" w:lineRule="auto"/>
        <w:rPr>
          <w:rFonts w:ascii="仿宋" w:hAnsi="仿宋" w:eastAsia="仿宋" w:cs="仿宋"/>
          <w:sz w:val="24"/>
        </w:rPr>
      </w:pPr>
    </w:p>
    <w:p w14:paraId="243A1286">
      <w:pPr>
        <w:spacing w:line="360" w:lineRule="auto"/>
        <w:ind w:left="161" w:hanging="160" w:hangingChars="67"/>
        <w:rPr>
          <w:rFonts w:ascii="仿宋" w:hAnsi="仿宋" w:eastAsia="仿宋" w:cs="仿宋"/>
          <w:sz w:val="24"/>
        </w:rPr>
      </w:pPr>
    </w:p>
    <w:p w14:paraId="56C0A560">
      <w:pPr>
        <w:spacing w:line="360" w:lineRule="auto"/>
        <w:rPr>
          <w:rFonts w:ascii="仿宋" w:hAnsi="仿宋" w:eastAsia="仿宋" w:cs="仿宋"/>
          <w:sz w:val="24"/>
        </w:rPr>
      </w:pPr>
    </w:p>
    <w:p w14:paraId="7AF4DC52">
      <w:pPr>
        <w:spacing w:line="360" w:lineRule="auto"/>
        <w:rPr>
          <w:rFonts w:ascii="仿宋" w:hAnsi="仿宋" w:eastAsia="仿宋" w:cs="仿宋"/>
          <w:sz w:val="24"/>
        </w:rPr>
      </w:pPr>
    </w:p>
    <w:p w14:paraId="3E4EFB82">
      <w:pPr>
        <w:spacing w:line="360" w:lineRule="auto"/>
        <w:rPr>
          <w:rFonts w:ascii="仿宋" w:hAnsi="仿宋" w:eastAsia="仿宋" w:cs="仿宋"/>
          <w:sz w:val="24"/>
        </w:rPr>
      </w:pPr>
    </w:p>
    <w:p w14:paraId="12B8DBEC">
      <w:pPr>
        <w:spacing w:line="360" w:lineRule="auto"/>
        <w:ind w:right="1556" w:rightChars="741"/>
        <w:jc w:val="right"/>
        <w:rPr>
          <w:rFonts w:ascii="仿宋" w:hAnsi="仿宋" w:eastAsia="仿宋" w:cs="仿宋"/>
          <w:sz w:val="24"/>
        </w:rPr>
      </w:pPr>
      <w:r>
        <w:rPr>
          <w:rFonts w:hint="eastAsia" w:ascii="仿宋" w:hAnsi="仿宋" w:eastAsia="仿宋" w:cs="仿宋"/>
          <w:sz w:val="24"/>
        </w:rPr>
        <w:t>投标单位：</w:t>
      </w:r>
      <w:r>
        <w:rPr>
          <w:rFonts w:hint="eastAsia" w:ascii="仿宋" w:hAnsi="仿宋" w:eastAsia="仿宋" w:cs="仿宋"/>
          <w:sz w:val="24"/>
          <w:u w:val="single"/>
        </w:rPr>
        <w:t xml:space="preserve">                 </w:t>
      </w:r>
      <w:r>
        <w:rPr>
          <w:rFonts w:hint="eastAsia" w:ascii="仿宋" w:hAnsi="仿宋" w:eastAsia="仿宋" w:cs="仿宋"/>
          <w:sz w:val="24"/>
        </w:rPr>
        <w:t>（盖公章）</w:t>
      </w:r>
    </w:p>
    <w:p w14:paraId="746A8E7D">
      <w:pPr>
        <w:spacing w:line="360" w:lineRule="auto"/>
        <w:ind w:right="1556" w:rightChars="741"/>
        <w:jc w:val="right"/>
        <w:rPr>
          <w:rFonts w:ascii="仿宋" w:hAnsi="仿宋" w:eastAsia="仿宋" w:cs="仿宋"/>
          <w:sz w:val="24"/>
        </w:rPr>
      </w:pPr>
    </w:p>
    <w:p w14:paraId="2E5253DD">
      <w:pPr>
        <w:ind w:right="1556" w:rightChars="741"/>
        <w:jc w:val="right"/>
        <w:rPr>
          <w:rFonts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41C0F9DE">
      <w:pPr>
        <w:jc w:val="center"/>
        <w:rPr>
          <w:rFonts w:ascii="仿宋" w:hAnsi="仿宋" w:eastAsia="仿宋" w:cs="仿宋"/>
          <w:b/>
          <w:kern w:val="0"/>
          <w:sz w:val="24"/>
        </w:rPr>
      </w:pPr>
    </w:p>
    <w:p w14:paraId="7B32A537">
      <w:pPr>
        <w:jc w:val="center"/>
        <w:rPr>
          <w:b/>
          <w:kern w:val="0"/>
          <w:sz w:val="36"/>
          <w:szCs w:val="36"/>
        </w:rPr>
      </w:pPr>
    </w:p>
    <w:p w14:paraId="7AE3BCD2">
      <w:pPr>
        <w:jc w:val="center"/>
        <w:rPr>
          <w:b/>
          <w:kern w:val="0"/>
          <w:sz w:val="36"/>
          <w:szCs w:val="36"/>
        </w:rPr>
      </w:pPr>
    </w:p>
    <w:p w14:paraId="6186F663">
      <w:pPr>
        <w:jc w:val="center"/>
        <w:rPr>
          <w:b/>
          <w:kern w:val="0"/>
          <w:sz w:val="36"/>
          <w:szCs w:val="36"/>
        </w:rPr>
      </w:pPr>
    </w:p>
    <w:p w14:paraId="1EB0FD9D">
      <w:pPr>
        <w:pStyle w:val="18"/>
        <w:rPr>
          <w:rFonts w:ascii="仿宋" w:hAnsi="仿宋" w:eastAsia="仿宋"/>
          <w:color w:val="auto"/>
          <w:sz w:val="22"/>
          <w:szCs w:val="21"/>
        </w:rPr>
      </w:pPr>
    </w:p>
    <w:p w14:paraId="16D62D9C">
      <w:pPr>
        <w:spacing w:line="300" w:lineRule="auto"/>
        <w:rPr>
          <w:rFonts w:ascii="仿宋" w:hAnsi="仿宋" w:eastAsia="仿宋"/>
          <w:b/>
          <w:sz w:val="28"/>
        </w:rPr>
      </w:pPr>
    </w:p>
    <w:p w14:paraId="6C2AEF30">
      <w:pPr>
        <w:rPr>
          <w:rFonts w:ascii="仿宋_GB2312" w:hAnsi="宋体" w:eastAsia="仿宋_GB2312"/>
          <w:b/>
          <w:sz w:val="24"/>
          <w:szCs w:val="28"/>
        </w:rPr>
      </w:pPr>
      <w:r>
        <w:rPr>
          <w:rFonts w:hint="eastAsia" w:ascii="仿宋_GB2312" w:hAnsi="宋体" w:eastAsia="仿宋_GB2312"/>
          <w:b/>
          <w:sz w:val="24"/>
          <w:szCs w:val="28"/>
        </w:rPr>
        <w:br w:type="page"/>
      </w:r>
    </w:p>
    <w:p w14:paraId="13FD5A6E">
      <w:pPr>
        <w:spacing w:line="300" w:lineRule="auto"/>
        <w:ind w:right="1600"/>
        <w:rPr>
          <w:rFonts w:ascii="仿宋_GB2312" w:hAnsi="宋体" w:eastAsia="仿宋_GB2312"/>
          <w:b/>
          <w:sz w:val="24"/>
          <w:szCs w:val="28"/>
        </w:rPr>
      </w:pPr>
      <w:r>
        <w:rPr>
          <w:rFonts w:hint="eastAsia" w:ascii="仿宋_GB2312" w:hAnsi="宋体" w:eastAsia="仿宋_GB2312"/>
          <w:b/>
          <w:sz w:val="24"/>
          <w:szCs w:val="28"/>
        </w:rPr>
        <w:t>附件</w:t>
      </w:r>
      <w:r>
        <w:rPr>
          <w:rFonts w:ascii="仿宋_GB2312" w:hAnsi="宋体" w:eastAsia="仿宋_GB2312"/>
          <w:b/>
          <w:sz w:val="24"/>
          <w:szCs w:val="28"/>
        </w:rPr>
        <w:t>3</w:t>
      </w:r>
      <w:r>
        <w:rPr>
          <w:rFonts w:hint="eastAsia" w:ascii="仿宋_GB2312" w:hAnsi="宋体" w:eastAsia="仿宋_GB2312"/>
          <w:b/>
          <w:sz w:val="24"/>
          <w:szCs w:val="28"/>
        </w:rPr>
        <w:t>：项目保密协议</w:t>
      </w:r>
    </w:p>
    <w:p w14:paraId="47B4D8FD">
      <w:pPr>
        <w:widowControl/>
        <w:adjustRightInd w:val="0"/>
        <w:snapToGrid w:val="0"/>
        <w:spacing w:line="300" w:lineRule="auto"/>
        <w:jc w:val="center"/>
        <w:textAlignment w:val="baseline"/>
        <w:rPr>
          <w:rFonts w:ascii="楷体_GB2312" w:hAnsi="黑体" w:eastAsia="楷体_GB2312"/>
          <w:b/>
          <w:kern w:val="0"/>
          <w:sz w:val="40"/>
          <w:szCs w:val="44"/>
        </w:rPr>
      </w:pPr>
      <w:r>
        <w:rPr>
          <w:rFonts w:hint="eastAsia" w:ascii="楷体_GB2312" w:hAnsi="黑体" w:eastAsia="楷体_GB2312"/>
          <w:b/>
          <w:kern w:val="0"/>
          <w:sz w:val="40"/>
          <w:szCs w:val="44"/>
        </w:rPr>
        <w:t>项目保密协议</w:t>
      </w:r>
    </w:p>
    <w:p w14:paraId="34A9E115">
      <w:pPr>
        <w:widowControl/>
        <w:adjustRightInd w:val="0"/>
        <w:snapToGrid w:val="0"/>
        <w:spacing w:line="300" w:lineRule="auto"/>
        <w:jc w:val="left"/>
        <w:textAlignment w:val="baseline"/>
        <w:rPr>
          <w:rFonts w:ascii="楷体_GB2312" w:hAnsi="黑体" w:eastAsia="楷体_GB2312"/>
          <w:color w:val="000000"/>
          <w:kern w:val="0"/>
          <w:sz w:val="24"/>
          <w:szCs w:val="28"/>
        </w:rPr>
      </w:pPr>
      <w:r>
        <w:rPr>
          <w:rFonts w:hint="eastAsia" w:ascii="楷体_GB2312" w:hAnsi="黑体" w:eastAsia="楷体_GB2312"/>
          <w:color w:val="000000"/>
          <w:kern w:val="0"/>
          <w:sz w:val="24"/>
          <w:szCs w:val="28"/>
        </w:rPr>
        <w:t>甲方：内蒙古蒙牛乳业（集团）股份有限公司</w:t>
      </w:r>
    </w:p>
    <w:p w14:paraId="1C7339A1">
      <w:pPr>
        <w:widowControl/>
        <w:adjustRightInd w:val="0"/>
        <w:snapToGrid w:val="0"/>
        <w:spacing w:line="300" w:lineRule="auto"/>
        <w:jc w:val="left"/>
        <w:textAlignment w:val="baseline"/>
        <w:rPr>
          <w:rFonts w:ascii="楷体_GB2312" w:hAnsi="黑体" w:eastAsia="楷体_GB2312"/>
          <w:color w:val="000000"/>
          <w:kern w:val="0"/>
          <w:sz w:val="24"/>
          <w:szCs w:val="28"/>
          <w:highlight w:val="none"/>
        </w:rPr>
      </w:pPr>
      <w:r>
        <w:rPr>
          <w:rFonts w:hint="eastAsia" w:ascii="楷体_GB2312" w:hAnsi="黑体" w:eastAsia="楷体_GB2312"/>
          <w:color w:val="000000"/>
          <w:kern w:val="0"/>
          <w:sz w:val="24"/>
          <w:szCs w:val="28"/>
          <w:highlight w:val="none"/>
        </w:rPr>
        <w:t>承诺方：（供应商全称）：</w:t>
      </w:r>
    </w:p>
    <w:p w14:paraId="7EDF9BA9">
      <w:pPr>
        <w:spacing w:line="320" w:lineRule="exact"/>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双方就常温</w:t>
      </w:r>
      <w:r>
        <w:rPr>
          <w:rFonts w:hint="eastAsia" w:ascii="楷体_GB2312" w:hAnsi="宋体" w:eastAsia="楷体_GB2312"/>
          <w:color w:val="000000"/>
          <w:kern w:val="0"/>
          <w:sz w:val="24"/>
          <w:szCs w:val="28"/>
          <w:lang w:val="en-US" w:eastAsia="zh-CN"/>
        </w:rPr>
        <w:t>特通业务部整车、零担</w:t>
      </w:r>
      <w:r>
        <w:rPr>
          <w:rFonts w:hint="eastAsia" w:ascii="楷体_GB2312" w:hAnsi="宋体" w:eastAsia="楷体_GB2312"/>
          <w:color w:val="000000"/>
          <w:kern w:val="0"/>
          <w:sz w:val="24"/>
          <w:szCs w:val="28"/>
        </w:rPr>
        <w:t>配送采招项目进行合作，在双方的项目合作过程中，因为工作的特性，双方在日常工作中必然会进行大量的信息交流，双方同意就谈判协商过程中任何一方提供或对方知悉的机密信息（定义如下）的保护达成本协议。</w:t>
      </w:r>
    </w:p>
    <w:p w14:paraId="62CABDA1">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一、定义</w:t>
      </w:r>
    </w:p>
    <w:p w14:paraId="1314EE2D">
      <w:pPr>
        <w:widowControl/>
        <w:adjustRightInd w:val="0"/>
        <w:snapToGrid w:val="0"/>
        <w:spacing w:line="300" w:lineRule="auto"/>
        <w:ind w:firstLine="480" w:firstLineChars="200"/>
        <w:textAlignment w:val="baseline"/>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机密信息”是指任何信息，主要为项目解决方案、流程方案、产品核心文档、数据库字典、帐套文件和公司内部规范文件等，同时也包括但不限于任何一方及其母公司、子公司、分公司、董事、股东的信息，及其他与产品、样品、产品计划、价格、工艺、技术、研究、开发、发明、服务、客户、市场、软件、硬件、设计、图纸、工程、构造信息、营销或财务相关的信息。机密信息并不包括下述信息：</w:t>
      </w:r>
    </w:p>
    <w:p w14:paraId="7B06DDC7">
      <w:pPr>
        <w:widowControl/>
        <w:adjustRightInd w:val="0"/>
        <w:snapToGrid w:val="0"/>
        <w:spacing w:line="300" w:lineRule="auto"/>
        <w:ind w:firstLine="480" w:firstLineChars="200"/>
        <w:textAlignment w:val="baseline"/>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（一）由接受方以书面文件证明：该等信息已于披露之前已由接受方所持有；</w:t>
      </w:r>
    </w:p>
    <w:p w14:paraId="479A7D10">
      <w:pPr>
        <w:widowControl/>
        <w:adjustRightInd w:val="0"/>
        <w:snapToGrid w:val="0"/>
        <w:spacing w:line="300" w:lineRule="auto"/>
        <w:ind w:firstLine="480" w:firstLineChars="200"/>
        <w:textAlignment w:val="baseline"/>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（二）已公开发表或非因接受方作为或不作为的原因，已向公众披露；</w:t>
      </w:r>
    </w:p>
    <w:p w14:paraId="66194237">
      <w:pPr>
        <w:widowControl/>
        <w:adjustRightInd w:val="0"/>
        <w:snapToGrid w:val="0"/>
        <w:spacing w:line="300" w:lineRule="auto"/>
        <w:ind w:firstLine="480" w:firstLineChars="200"/>
        <w:textAlignment w:val="baseline"/>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（三）已由提供方书面同意接受方公开；</w:t>
      </w:r>
    </w:p>
    <w:p w14:paraId="3421FA74">
      <w:pPr>
        <w:widowControl/>
        <w:adjustRightInd w:val="0"/>
        <w:snapToGrid w:val="0"/>
        <w:spacing w:line="300" w:lineRule="auto"/>
        <w:ind w:firstLine="480" w:firstLineChars="200"/>
        <w:textAlignment w:val="baseline"/>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（四）由接受方在未使用该等机密信息的情形下独立开发；</w:t>
      </w:r>
    </w:p>
    <w:p w14:paraId="1E864A55">
      <w:pPr>
        <w:widowControl/>
        <w:adjustRightInd w:val="0"/>
        <w:snapToGrid w:val="0"/>
        <w:spacing w:line="300" w:lineRule="auto"/>
        <w:ind w:firstLine="480" w:firstLineChars="200"/>
        <w:textAlignment w:val="baseline"/>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（五）接受方从第三方处合法、正当地取得，且该第三方对该等机密信息不承担保密义务。</w:t>
      </w:r>
    </w:p>
    <w:p w14:paraId="02252AD0">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二、保密</w:t>
      </w:r>
    </w:p>
    <w:p w14:paraId="250697AD">
      <w:pPr>
        <w:pStyle w:val="8"/>
        <w:spacing w:line="300" w:lineRule="auto"/>
        <w:ind w:left="0" w:firstLine="480" w:firstLineChars="200"/>
        <w:rPr>
          <w:rFonts w:ascii="宋体" w:hAnsi="宋体"/>
          <w:sz w:val="22"/>
          <w:szCs w:val="24"/>
        </w:rPr>
      </w:pPr>
      <w:r>
        <w:rPr>
          <w:rFonts w:hint="eastAsia" w:ascii="楷体_GB2312" w:hAnsi="宋体" w:eastAsia="楷体_GB2312"/>
          <w:color w:val="000000"/>
          <w:kern w:val="0"/>
          <w:sz w:val="24"/>
          <w:szCs w:val="28"/>
        </w:rPr>
        <w:t xml:space="preserve">双方同意仅能根据本协议的目的使用另一方披露的机密信息。除由双方书面委派执行本协议目的而必须知悉该等机密信息的人员，及可能包括在内的董事、主管、合伙人及员工（统称“代表人员”）以外，任何一方不得将与另一方相关的或属于另一方所有的机密信息披露给第三方。任何一方不得超出实施目的所允许的必要限度，从另一方处复制、摘录和转移任何机密信息。任何机密信息的公布均须得到披露方的事先书面同意。双方应采取一切合理措施对另一方机密信息保密，避免该等机密信息被不当披露或使用，采取该等措施时应持与保护自身机密信息相同的最高程度的谨慎态度。任何一方若发现有误用或滥用另一方的机密信息的情形时，应及时将该情形书面通知另一方。   </w:t>
      </w:r>
      <w:r>
        <w:rPr>
          <w:rFonts w:hint="eastAsia" w:ascii="宋体" w:hAnsi="宋体"/>
          <w:sz w:val="22"/>
          <w:szCs w:val="24"/>
        </w:rPr>
        <w:t xml:space="preserve">  </w:t>
      </w:r>
    </w:p>
    <w:p w14:paraId="32D64479">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三、公开</w:t>
      </w:r>
    </w:p>
    <w:p w14:paraId="2D539CC4">
      <w:pPr>
        <w:pStyle w:val="8"/>
        <w:spacing w:line="300" w:lineRule="auto"/>
        <w:ind w:left="239" w:leftChars="114" w:firstLine="360" w:firstLineChars="150"/>
        <w:rPr>
          <w:rFonts w:ascii="宋体" w:hAnsi="宋体"/>
          <w:sz w:val="22"/>
          <w:szCs w:val="24"/>
        </w:rPr>
      </w:pPr>
      <w:r>
        <w:rPr>
          <w:rFonts w:hint="eastAsia" w:ascii="楷体_GB2312" w:hAnsi="宋体" w:eastAsia="楷体_GB2312"/>
          <w:color w:val="000000"/>
          <w:kern w:val="0"/>
          <w:sz w:val="24"/>
          <w:szCs w:val="28"/>
        </w:rPr>
        <w:t>本协议任何一方或其各自代表人员无权擅自将另一方的公司名称、商号、商标及其他名称用作广告宣传或对外公开。未经本协议另一方的事先书面同意，本协议任何一方或其各自的代表人员不得透露本协议及其相关内容，本协议第4条“强制性披露”条款所述情形除外。</w:t>
      </w:r>
      <w:r>
        <w:rPr>
          <w:rFonts w:hint="eastAsia" w:ascii="宋体" w:hAnsi="宋体"/>
          <w:sz w:val="22"/>
          <w:szCs w:val="24"/>
        </w:rPr>
        <w:t xml:space="preserve">                                                                                                                                                               </w:t>
      </w:r>
    </w:p>
    <w:p w14:paraId="221DC9D0">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四、强制性披露</w:t>
      </w:r>
    </w:p>
    <w:p w14:paraId="47D4F119">
      <w:pPr>
        <w:spacing w:line="300" w:lineRule="auto"/>
        <w:ind w:firstLine="544" w:firstLineChars="227"/>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若因法律、法规、法令或其他合法要求，如传票等，在未取得另一方的事先书面同意的情况下，任何一方或其受委派执行协议目的或通过某种途径知悉机密信息之人员须披露另一方的机密信息时，该披露方应立即书面通知另一方，以便其能寻求保护或采取其他合理的救济。若未能取得保护令或其他救济措施，该披露方应仅披露依法应予披露的那部分机密信息，且应尽最大努力确保对该些机密信息采取可靠的保密措施。</w:t>
      </w:r>
    </w:p>
    <w:p w14:paraId="7B045F6B">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五、返还资料</w:t>
      </w:r>
    </w:p>
    <w:p w14:paraId="5DFFC78B">
      <w:pPr>
        <w:pStyle w:val="4"/>
        <w:spacing w:line="300" w:lineRule="auto"/>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在协议目的终止、撤消、完成、被拒绝或以其他方式解除后，根据对方的书面要求，任何一方应在项目终止后的     天内销毁或归还另一方提供的所有机密信息。任何形式的机密信息，不论是电子系统记录，如计算机磁盘、光盘、硬盘或软件等或纸质记录，如分析、汇编、论文、翻译或其他由/或为任何一方准备的文件，一方应按本协议条款要求持有或根据另一方的要求自行销毁该等机密信息。</w:t>
      </w:r>
    </w:p>
    <w:p w14:paraId="51D85CD7">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六、非授权许可</w:t>
      </w:r>
    </w:p>
    <w:p w14:paraId="42BE2573">
      <w:pPr>
        <w:spacing w:line="300" w:lineRule="auto"/>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除为查阅或使用机密信息以达成本协议目的之权利外，本协议未将专利权、版权、商业秘密或其他知识产权项下权利转让给任何一方，同时也未将任何一方的机密信息内所含或所属的权利转让给另一方。</w:t>
      </w:r>
    </w:p>
    <w:p w14:paraId="451157D7">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七、义务限定</w:t>
      </w:r>
    </w:p>
    <w:p w14:paraId="1FE8EC5C">
      <w:pPr>
        <w:spacing w:line="300" w:lineRule="auto"/>
        <w:ind w:left="1"/>
        <w:rPr>
          <w:rFonts w:ascii="宋体" w:hAnsi="宋体"/>
          <w:sz w:val="22"/>
        </w:rPr>
      </w:pPr>
      <w:r>
        <w:rPr>
          <w:rFonts w:hint="eastAsia" w:ascii="宋体" w:hAnsi="宋体"/>
          <w:b/>
          <w:bCs/>
          <w:sz w:val="22"/>
        </w:rPr>
        <w:t xml:space="preserve">   </w:t>
      </w:r>
      <w:r>
        <w:rPr>
          <w:rFonts w:hint="eastAsia" w:ascii="楷体_GB2312" w:hAnsi="宋体" w:eastAsia="楷体_GB2312"/>
          <w:color w:val="000000"/>
          <w:kern w:val="0"/>
          <w:sz w:val="24"/>
          <w:szCs w:val="28"/>
        </w:rPr>
        <w:t xml:space="preserve"> 本协议不得被视作或解释为本公司有义务向另一方提供任何信息、与另一方进行商业交易或签订任何最终协议，除非本公司决定向其提供信息或与其签订与交易有关的最终协议。</w:t>
      </w:r>
    </w:p>
    <w:p w14:paraId="4CAB131D">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八、信息准确性</w:t>
      </w:r>
    </w:p>
    <w:p w14:paraId="7C3EA78E">
      <w:pPr>
        <w:spacing w:line="300" w:lineRule="auto"/>
        <w:ind w:left="-119" w:leftChars="-266" w:hanging="440" w:hangingChars="200"/>
        <w:rPr>
          <w:rFonts w:ascii="宋体" w:hAnsi="宋体"/>
          <w:sz w:val="22"/>
        </w:rPr>
      </w:pPr>
      <w:r>
        <w:rPr>
          <w:rFonts w:hint="eastAsia" w:ascii="宋体" w:hAnsi="宋体"/>
          <w:sz w:val="22"/>
        </w:rPr>
        <w:t xml:space="preserve">        </w:t>
      </w:r>
      <w:r>
        <w:rPr>
          <w:rFonts w:hint="eastAsia" w:ascii="楷体_GB2312" w:hAnsi="宋体" w:eastAsia="楷体_GB2312"/>
          <w:color w:val="000000"/>
          <w:kern w:val="0"/>
          <w:sz w:val="24"/>
          <w:szCs w:val="28"/>
        </w:rPr>
        <w:t>本公司、子公司及分公司并未就其向另一方披露的任何机密信息的准确性、可靠性及完整性作出明示或暗示的声明或保证，且对另一方、其代表人员或其他使用该等机密信息的人员不承担任何责任。</w:t>
      </w:r>
    </w:p>
    <w:p w14:paraId="3F85B8E9">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九、期限</w:t>
      </w:r>
    </w:p>
    <w:p w14:paraId="6086432A">
      <w:pPr>
        <w:pStyle w:val="4"/>
        <w:spacing w:line="300" w:lineRule="auto"/>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本协议中双方之保密义务应自对方收到机密信息之日起五年内持续有效，且不因协议目的之达成而终止。</w:t>
      </w:r>
    </w:p>
    <w:p w14:paraId="6920A5B3">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十、其他条款</w:t>
      </w:r>
    </w:p>
    <w:p w14:paraId="40D4C7B5">
      <w:pPr>
        <w:spacing w:line="300" w:lineRule="auto"/>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（一）关于劳动者保护</w:t>
      </w:r>
    </w:p>
    <w:p w14:paraId="3B453930">
      <w:pPr>
        <w:spacing w:line="300" w:lineRule="auto"/>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乙方应遵守中国的《劳动法》、《劳动合同法》及其他相关的法津法规，包括劳动年龄、最低工资、加班、最长工时等，并提供法津规定的社会保险及福利；乙方应与员工签订劳动合同，劳动合同的订立和变更应遵循平等自愿、协商一致的原则，不得违反法律法规的规定；乙方不得使用或支持使用强迫或强制性劳动；乙方应按照法津法规的规定，为员工提供安全和健康的工作场所，并确保其可以合理获得饮用水和卫生设施、消防安全、以及充足的照明和通风等。</w:t>
      </w:r>
    </w:p>
    <w:p w14:paraId="5B83034E">
      <w:pPr>
        <w:spacing w:line="300" w:lineRule="auto"/>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（二）关于环境保护</w:t>
      </w:r>
    </w:p>
    <w:p w14:paraId="59B8FE32">
      <w:pPr>
        <w:spacing w:line="300" w:lineRule="auto"/>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14:paraId="70AD8DEC">
      <w:pPr>
        <w:spacing w:line="300" w:lineRule="auto"/>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（三）关于知识产权保护</w:t>
      </w:r>
    </w:p>
    <w:p w14:paraId="05692799">
      <w:pPr>
        <w:spacing w:line="300" w:lineRule="auto"/>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乙方保证对所提供的产品或服务拥有完全自主的知识产权或得到合法授权，不存在侵害他人合法权益的情况，如与任何第三方发生争议或纠纷，乙方应及时协调解决，如因此给甲方造成影响或损害，由乙方承担赔偿责任。</w:t>
      </w:r>
    </w:p>
    <w:p w14:paraId="26D52B63">
      <w:pPr>
        <w:spacing w:line="300" w:lineRule="auto"/>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本协议对双方及其承继人、受让人均具有约束力且保护其合法权益。本协议任一条款之无法实施并不视为该条款被放弃。</w:t>
      </w:r>
    </w:p>
    <w:p w14:paraId="517273E8">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十一、适用法律</w:t>
      </w:r>
    </w:p>
    <w:p w14:paraId="1EDB8AD6">
      <w:pPr>
        <w:spacing w:line="300" w:lineRule="auto"/>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本合同适用中华人民共和国法律，因本合同引起或与本合同有关的任何争议，应由双方友好协商解决，协商不成的，双方同意选择以下解决方式：</w:t>
      </w:r>
    </w:p>
    <w:p w14:paraId="5BED87A2">
      <w:pPr>
        <w:spacing w:line="300" w:lineRule="auto"/>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向甲方所在地有管辖权的人民法院提起诉讼。因诉讼产生的包括但不限于诉讼费、律师费、调查费、差旅费等，由败诉一方承担。</w:t>
      </w:r>
    </w:p>
    <w:p w14:paraId="15297405">
      <w:pPr>
        <w:widowControl/>
        <w:adjustRightInd w:val="0"/>
        <w:snapToGrid w:val="0"/>
        <w:spacing w:line="300" w:lineRule="auto"/>
        <w:ind w:firstLine="482" w:firstLineChars="200"/>
        <w:textAlignment w:val="baseline"/>
        <w:rPr>
          <w:rFonts w:ascii="楷体_GB2312" w:hAnsi="宋体" w:eastAsia="楷体_GB2312"/>
          <w:b/>
          <w:color w:val="000000"/>
          <w:kern w:val="0"/>
          <w:sz w:val="24"/>
          <w:szCs w:val="28"/>
        </w:rPr>
      </w:pPr>
      <w:r>
        <w:rPr>
          <w:rFonts w:hint="eastAsia" w:ascii="楷体_GB2312" w:hAnsi="宋体" w:eastAsia="楷体_GB2312"/>
          <w:b/>
          <w:color w:val="000000"/>
          <w:kern w:val="0"/>
          <w:sz w:val="24"/>
          <w:szCs w:val="28"/>
        </w:rPr>
        <w:t>十二、违约责任及救济</w:t>
      </w:r>
    </w:p>
    <w:p w14:paraId="512D921F">
      <w:pPr>
        <w:spacing w:line="300" w:lineRule="auto"/>
        <w:ind w:firstLine="480" w:firstLineChars="200"/>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甲乙双方均理解并认可，未经对方授权而披露、使用或处理上述机密信息，从而损害对方权益，违约方应赔偿另一方及其关联公司因违约行为对其造成的直接或间接损失，包括合理的律师费用及受损一方因调查违约行为而产生的调查费用。</w:t>
      </w:r>
    </w:p>
    <w:p w14:paraId="03C46653">
      <w:pPr>
        <w:spacing w:line="300" w:lineRule="auto"/>
        <w:ind w:firstLine="480" w:firstLineChars="200"/>
        <w:rPr>
          <w:rFonts w:ascii="楷体_GB2312" w:hAnsi="宋体" w:eastAsia="楷体_GB2312"/>
          <w:b/>
          <w:color w:val="000000"/>
          <w:kern w:val="0"/>
          <w:sz w:val="24"/>
          <w:szCs w:val="28"/>
        </w:rPr>
      </w:pPr>
      <w:r>
        <w:rPr>
          <w:rFonts w:hint="eastAsia" w:ascii="楷体_GB2312" w:hAnsi="宋体" w:eastAsia="楷体_GB2312"/>
          <w:color w:val="000000"/>
          <w:kern w:val="0"/>
          <w:sz w:val="24"/>
          <w:szCs w:val="28"/>
        </w:rPr>
        <w:t>十三、</w:t>
      </w:r>
      <w:r>
        <w:rPr>
          <w:rFonts w:hint="eastAsia" w:ascii="楷体_GB2312" w:hAnsi="宋体" w:eastAsia="楷体_GB2312"/>
          <w:b/>
          <w:color w:val="000000"/>
          <w:kern w:val="0"/>
          <w:sz w:val="24"/>
          <w:szCs w:val="28"/>
        </w:rPr>
        <w:t>此协议自签字盖章之日起生效。</w:t>
      </w:r>
    </w:p>
    <w:p w14:paraId="3EBA8028">
      <w:pPr>
        <w:widowControl/>
        <w:adjustRightInd w:val="0"/>
        <w:snapToGrid w:val="0"/>
        <w:spacing w:line="300" w:lineRule="auto"/>
        <w:textAlignment w:val="baseline"/>
        <w:rPr>
          <w:rFonts w:ascii="楷体_GB2312" w:hAnsi="宋体" w:eastAsia="楷体_GB2312"/>
          <w:color w:val="000000"/>
          <w:kern w:val="0"/>
          <w:sz w:val="24"/>
          <w:szCs w:val="28"/>
        </w:rPr>
      </w:pPr>
      <w:r>
        <w:rPr>
          <w:rFonts w:hint="eastAsia" w:ascii="楷体_GB2312" w:hAnsi="宋体" w:eastAsia="楷体_GB2312"/>
          <w:color w:val="000000"/>
          <w:kern w:val="0"/>
          <w:sz w:val="24"/>
          <w:szCs w:val="28"/>
        </w:rPr>
        <w:t xml:space="preserve">    </w:t>
      </w:r>
      <w:r>
        <w:rPr>
          <w:rFonts w:hint="eastAsia" w:ascii="楷体_GB2312" w:hAnsi="宋体" w:eastAsia="楷体_GB2312"/>
          <w:color w:val="000000"/>
          <w:kern w:val="0"/>
          <w:sz w:val="24"/>
          <w:szCs w:val="28"/>
        </w:rPr>
        <w:tab/>
      </w:r>
      <w:r>
        <w:rPr>
          <w:rFonts w:hint="eastAsia" w:ascii="楷体_GB2312" w:hAnsi="宋体" w:eastAsia="楷体_GB2312"/>
          <w:color w:val="000000"/>
          <w:kern w:val="0"/>
          <w:sz w:val="24"/>
          <w:szCs w:val="28"/>
        </w:rPr>
        <w:tab/>
      </w:r>
      <w:r>
        <w:rPr>
          <w:rFonts w:hint="eastAsia" w:ascii="楷体_GB2312" w:hAnsi="宋体" w:eastAsia="楷体_GB2312"/>
          <w:color w:val="000000"/>
          <w:kern w:val="0"/>
          <w:sz w:val="24"/>
          <w:szCs w:val="28"/>
        </w:rPr>
        <w:t xml:space="preserve">                            </w:t>
      </w:r>
    </w:p>
    <w:p w14:paraId="359B78E6">
      <w:pPr>
        <w:widowControl/>
        <w:adjustRightInd w:val="0"/>
        <w:snapToGrid w:val="0"/>
        <w:spacing w:line="300" w:lineRule="auto"/>
        <w:textAlignment w:val="baseline"/>
        <w:rPr>
          <w:rFonts w:ascii="楷体_GB2312" w:hAnsi="宋体" w:eastAsia="楷体_GB2312"/>
          <w:color w:val="000000"/>
          <w:kern w:val="0"/>
          <w:sz w:val="24"/>
          <w:szCs w:val="28"/>
          <w:highlight w:val="none"/>
        </w:rPr>
      </w:pPr>
      <w:r>
        <w:rPr>
          <w:rFonts w:hint="eastAsia" w:ascii="楷体_GB2312" w:hAnsi="宋体" w:eastAsia="楷体_GB2312"/>
          <w:color w:val="000000"/>
          <w:kern w:val="0"/>
          <w:sz w:val="24"/>
          <w:szCs w:val="28"/>
          <w:highlight w:val="none"/>
        </w:rPr>
        <w:t>承诺方：</w:t>
      </w:r>
    </w:p>
    <w:p w14:paraId="3640B692">
      <w:pPr>
        <w:spacing w:line="320" w:lineRule="exact"/>
        <w:jc w:val="left"/>
        <w:rPr>
          <w:rFonts w:ascii="楷体_GB2312" w:hAnsi="宋体" w:eastAsia="楷体_GB2312"/>
          <w:color w:val="000000"/>
          <w:kern w:val="0"/>
          <w:sz w:val="24"/>
          <w:szCs w:val="28"/>
          <w:highlight w:val="none"/>
        </w:rPr>
      </w:pPr>
      <w:r>
        <w:rPr>
          <w:rFonts w:hint="eastAsia" w:ascii="楷体_GB2312" w:hAnsi="宋体" w:eastAsia="楷体_GB2312"/>
          <w:color w:val="000000"/>
          <w:kern w:val="0"/>
          <w:sz w:val="24"/>
          <w:szCs w:val="28"/>
          <w:highlight w:val="none"/>
        </w:rPr>
        <w:t>代表人</w:t>
      </w:r>
      <w:r>
        <w:rPr>
          <w:rFonts w:hint="eastAsia" w:ascii="楷体_GB2312" w:hAnsi="宋体" w:eastAsia="楷体_GB2312"/>
          <w:color w:val="000000"/>
          <w:kern w:val="0"/>
          <w:sz w:val="24"/>
          <w:szCs w:val="28"/>
          <w:highlight w:val="none"/>
          <w:lang w:eastAsia="zh-CN"/>
        </w:rPr>
        <w:t>（</w:t>
      </w:r>
      <w:r>
        <w:rPr>
          <w:rFonts w:hint="eastAsia" w:ascii="楷体_GB2312" w:hAnsi="宋体" w:eastAsia="楷体_GB2312"/>
          <w:color w:val="000000"/>
          <w:kern w:val="0"/>
          <w:sz w:val="24"/>
          <w:szCs w:val="28"/>
          <w:highlight w:val="none"/>
          <w:lang w:val="en-US" w:eastAsia="zh-CN"/>
        </w:rPr>
        <w:t>手签</w:t>
      </w:r>
      <w:r>
        <w:rPr>
          <w:rFonts w:hint="eastAsia" w:ascii="楷体_GB2312" w:hAnsi="宋体" w:eastAsia="楷体_GB2312"/>
          <w:color w:val="000000"/>
          <w:kern w:val="0"/>
          <w:sz w:val="24"/>
          <w:szCs w:val="28"/>
          <w:highlight w:val="none"/>
          <w:lang w:eastAsia="zh-CN"/>
        </w:rPr>
        <w:t>）</w:t>
      </w:r>
      <w:r>
        <w:rPr>
          <w:rFonts w:hint="eastAsia" w:ascii="楷体_GB2312" w:hAnsi="宋体" w:eastAsia="楷体_GB2312"/>
          <w:color w:val="000000"/>
          <w:kern w:val="0"/>
          <w:sz w:val="24"/>
          <w:szCs w:val="28"/>
          <w:highlight w:val="none"/>
        </w:rPr>
        <w:t>：</w:t>
      </w:r>
    </w:p>
    <w:p w14:paraId="40B22BCA">
      <w:pPr>
        <w:spacing w:line="320" w:lineRule="exact"/>
        <w:jc w:val="left"/>
        <w:rPr>
          <w:rFonts w:ascii="楷体_GB2312" w:hAnsi="宋体" w:eastAsia="楷体_GB2312"/>
          <w:color w:val="000000"/>
          <w:kern w:val="0"/>
          <w:sz w:val="24"/>
          <w:szCs w:val="28"/>
        </w:rPr>
      </w:pPr>
    </w:p>
    <w:p w14:paraId="408712B5">
      <w:pPr>
        <w:spacing w:line="320" w:lineRule="exact"/>
        <w:jc w:val="left"/>
        <w:rPr>
          <w:rFonts w:ascii="楷体_GB2312" w:hAnsi="宋体" w:eastAsia="楷体_GB2312"/>
          <w:color w:val="000000"/>
          <w:kern w:val="0"/>
          <w:sz w:val="24"/>
          <w:szCs w:val="28"/>
        </w:rPr>
      </w:pPr>
    </w:p>
    <w:p w14:paraId="59921831">
      <w:pPr>
        <w:spacing w:line="320" w:lineRule="exact"/>
        <w:jc w:val="left"/>
        <w:rPr>
          <w:rFonts w:ascii="楷体_GB2312" w:hAnsi="宋体" w:eastAsia="楷体_GB2312"/>
          <w:color w:val="000000"/>
          <w:kern w:val="0"/>
          <w:sz w:val="24"/>
          <w:szCs w:val="28"/>
        </w:rPr>
      </w:pPr>
    </w:p>
    <w:p w14:paraId="7CC6BF91">
      <w:pPr>
        <w:spacing w:line="320" w:lineRule="exact"/>
        <w:jc w:val="left"/>
        <w:rPr>
          <w:rFonts w:ascii="楷体_GB2312" w:hAnsi="宋体" w:eastAsia="楷体_GB2312"/>
          <w:color w:val="000000"/>
          <w:kern w:val="0"/>
          <w:sz w:val="24"/>
          <w:szCs w:val="28"/>
        </w:rPr>
      </w:pPr>
    </w:p>
    <w:p w14:paraId="76620C91">
      <w:pPr>
        <w:spacing w:line="320" w:lineRule="exact"/>
        <w:jc w:val="left"/>
        <w:rPr>
          <w:rFonts w:ascii="楷体_GB2312" w:hAnsi="宋体" w:eastAsia="楷体_GB2312"/>
          <w:color w:val="000000"/>
          <w:kern w:val="0"/>
          <w:sz w:val="24"/>
          <w:szCs w:val="28"/>
        </w:rPr>
      </w:pPr>
    </w:p>
    <w:p w14:paraId="2D652BBE">
      <w:pPr>
        <w:spacing w:line="320" w:lineRule="exact"/>
        <w:jc w:val="left"/>
        <w:rPr>
          <w:rFonts w:ascii="楷体_GB2312" w:hAnsi="宋体" w:eastAsia="楷体_GB2312"/>
          <w:color w:val="000000"/>
          <w:kern w:val="0"/>
          <w:sz w:val="24"/>
          <w:szCs w:val="28"/>
        </w:rPr>
      </w:pPr>
    </w:p>
    <w:p w14:paraId="070B090D">
      <w:pPr>
        <w:spacing w:line="320" w:lineRule="exact"/>
        <w:jc w:val="left"/>
        <w:rPr>
          <w:rFonts w:ascii="楷体_GB2312" w:hAnsi="宋体" w:eastAsia="楷体_GB2312"/>
          <w:color w:val="000000"/>
          <w:kern w:val="0"/>
          <w:sz w:val="24"/>
          <w:szCs w:val="28"/>
        </w:rPr>
      </w:pPr>
    </w:p>
    <w:p w14:paraId="53A919D1">
      <w:pPr>
        <w:spacing w:line="320" w:lineRule="exact"/>
        <w:jc w:val="left"/>
        <w:rPr>
          <w:rFonts w:ascii="楷体_GB2312" w:hAnsi="宋体" w:eastAsia="楷体_GB2312"/>
          <w:color w:val="000000"/>
          <w:kern w:val="0"/>
          <w:sz w:val="24"/>
          <w:szCs w:val="28"/>
        </w:rPr>
      </w:pPr>
    </w:p>
    <w:p w14:paraId="794D8503">
      <w:pPr>
        <w:spacing w:line="320" w:lineRule="exact"/>
        <w:jc w:val="left"/>
        <w:rPr>
          <w:b/>
        </w:rPr>
      </w:pPr>
      <w:r>
        <w:rPr>
          <w:rFonts w:hint="eastAsia" w:ascii="仿宋_GB2312" w:hAnsi="宋体" w:eastAsia="仿宋_GB2312"/>
          <w:b/>
          <w:sz w:val="24"/>
          <w:szCs w:val="28"/>
        </w:rPr>
        <w:t>附件4</w:t>
      </w:r>
    </w:p>
    <w:p w14:paraId="6780FC4E">
      <w:pPr>
        <w:spacing w:line="320" w:lineRule="exact"/>
        <w:jc w:val="center"/>
        <w:rPr>
          <w:b/>
        </w:rPr>
      </w:pPr>
      <w:r>
        <w:rPr>
          <w:rFonts w:hint="eastAsia"/>
          <w:b/>
        </w:rPr>
        <w:t>聘用蒙牛在职人员亲属（含特定关系人）及离职人员的告知函</w:t>
      </w:r>
    </w:p>
    <w:p w14:paraId="39D87B7E">
      <w:pPr>
        <w:spacing w:line="320" w:lineRule="exact"/>
        <w:jc w:val="left"/>
      </w:pPr>
      <w:r>
        <w:rPr>
          <w:rFonts w:hint="eastAsia"/>
        </w:rPr>
        <w:t>致：内蒙古蒙牛乳业（集团）股份有限公司:</w:t>
      </w:r>
    </w:p>
    <w:p w14:paraId="21884F85">
      <w:pPr>
        <w:spacing w:line="320" w:lineRule="exact"/>
        <w:ind w:firstLine="422" w:firstLineChars="200"/>
      </w:pPr>
      <w:r>
        <w:rPr>
          <w:rFonts w:hint="eastAsia"/>
          <w:b/>
          <w:bCs/>
          <w:u w:val="single"/>
        </w:rPr>
        <w:t>****</w:t>
      </w:r>
      <w:r>
        <w:rPr>
          <w:b/>
          <w:bCs/>
          <w:u w:val="single"/>
        </w:rPr>
        <w:t>公司</w:t>
      </w:r>
      <w:r>
        <w:t>（请</w:t>
      </w:r>
      <w:r>
        <w:rPr>
          <w:rFonts w:hint="eastAsia"/>
        </w:rPr>
        <w:t>填写标准注册</w:t>
      </w:r>
      <w:r>
        <w:t>公司</w:t>
      </w:r>
      <w:r>
        <w:rPr>
          <w:rFonts w:hint="eastAsia"/>
        </w:rPr>
        <w:t>名称）</w:t>
      </w:r>
      <w:r>
        <w:t>于</w:t>
      </w:r>
      <w:r>
        <w:rPr>
          <w:b/>
          <w:bCs/>
          <w:u w:val="single"/>
        </w:rPr>
        <w:t>202</w:t>
      </w:r>
      <w:r>
        <w:rPr>
          <w:rFonts w:hint="eastAsia"/>
          <w:b/>
          <w:bCs/>
          <w:u w:val="single"/>
          <w:lang w:val="en-US" w:eastAsia="zh-CN"/>
        </w:rPr>
        <w:t>6</w:t>
      </w:r>
      <w:r>
        <w:rPr>
          <w:rFonts w:hint="eastAsia"/>
          <w:b/>
          <w:bCs/>
          <w:u w:val="single"/>
        </w:rPr>
        <w:t>年</w:t>
      </w:r>
      <w:r>
        <w:rPr>
          <w:rFonts w:hint="eastAsia"/>
          <w:b/>
          <w:bCs/>
          <w:u w:val="single"/>
          <w:lang w:val="en-US" w:eastAsia="zh-CN"/>
        </w:rPr>
        <w:t>4</w:t>
      </w:r>
      <w:r>
        <w:rPr>
          <w:rFonts w:hint="eastAsia"/>
          <w:b/>
          <w:bCs/>
          <w:u w:val="single"/>
        </w:rPr>
        <w:t>月</w:t>
      </w:r>
      <w:r>
        <w:rPr>
          <w:rFonts w:hint="eastAsia"/>
        </w:rPr>
        <w:t>参加贵方组织的</w:t>
      </w:r>
      <w:r>
        <w:rPr>
          <w:rFonts w:hint="eastAsia" w:ascii="仿宋_GB2312" w:hAnsi="宋体" w:eastAsia="仿宋_GB2312"/>
          <w:sz w:val="24"/>
          <w:szCs w:val="28"/>
        </w:rPr>
        <w:t>常温</w:t>
      </w:r>
      <w:r>
        <w:rPr>
          <w:rFonts w:hint="eastAsia" w:ascii="仿宋_GB2312" w:hAnsi="宋体" w:eastAsia="仿宋_GB2312"/>
          <w:sz w:val="24"/>
          <w:szCs w:val="28"/>
          <w:lang w:val="en-US" w:eastAsia="zh-CN"/>
        </w:rPr>
        <w:t>特通业务部整车、零担</w:t>
      </w:r>
      <w:r>
        <w:rPr>
          <w:rFonts w:hint="eastAsia" w:ascii="仿宋_GB2312" w:hAnsi="宋体" w:eastAsia="仿宋_GB2312"/>
          <w:sz w:val="24"/>
          <w:szCs w:val="28"/>
        </w:rPr>
        <w:t>配送采招项目</w:t>
      </w:r>
      <w:r>
        <w:rPr>
          <w:rFonts w:hint="eastAsia"/>
        </w:rPr>
        <w:t>，并提交下述文件一份：</w:t>
      </w:r>
    </w:p>
    <w:p w14:paraId="1AD2F5E7">
      <w:pPr>
        <w:spacing w:line="320" w:lineRule="exact"/>
        <w:jc w:val="left"/>
      </w:pPr>
      <w:r>
        <w:t xml:space="preserve">    </w:t>
      </w:r>
      <w:r>
        <w:rPr>
          <w:rFonts w:hint="eastAsia"/>
        </w:rPr>
        <w:t>据此函，同意并告知如下：</w:t>
      </w:r>
    </w:p>
    <w:p w14:paraId="56625D2E">
      <w:pPr>
        <w:spacing w:line="320" w:lineRule="exact"/>
        <w:jc w:val="left"/>
      </w:pPr>
      <w:r>
        <w:rPr>
          <w:rFonts w:hint="eastAsia"/>
        </w:rPr>
        <w:t>我公司参加贵方组织的采购招标项目之前，已对我公司员工进行背景调查：</w:t>
      </w:r>
    </w:p>
    <w:p w14:paraId="1EBFDEA5">
      <w:pPr>
        <w:spacing w:line="320" w:lineRule="exact"/>
        <w:jc w:val="left"/>
      </w:pPr>
      <w:r>
        <w:rPr>
          <w:rFonts w:hint="eastAsia"/>
        </w:rPr>
        <w:t>情况一：我公司员工未包括任何蒙牛集团在职人员亲属（含特定关系人）、离职人员。如若中选，</w:t>
      </w:r>
      <w:r>
        <w:t>我公司</w:t>
      </w:r>
      <w:r>
        <w:rPr>
          <w:rFonts w:hint="eastAsia"/>
        </w:rPr>
        <w:t>相关服务团队</w:t>
      </w:r>
      <w:r>
        <w:t>将不会</w:t>
      </w:r>
      <w:r>
        <w:rPr>
          <w:rFonts w:hint="eastAsia"/>
        </w:rPr>
        <w:t>招聘蒙牛集团在职人员亲属（含特定关系人）、离职人员。</w:t>
      </w:r>
    </w:p>
    <w:p w14:paraId="1A2126CA">
      <w:pPr>
        <w:spacing w:line="320" w:lineRule="exact"/>
        <w:jc w:val="left"/>
      </w:pPr>
      <w:r>
        <w:rPr>
          <w:rFonts w:hint="eastAsia"/>
        </w:rPr>
        <w:t>情况二：我公司员工***为蒙牛集团在职人员亲属（含特定关系人）或离职人员，经综合考量评估，该员工对于贵方组织的本次项目不存在任何利害关系。如若中选，该员工将不会作为</w:t>
      </w:r>
      <w:r>
        <w:t>我公司</w:t>
      </w:r>
      <w:r>
        <w:rPr>
          <w:rFonts w:hint="eastAsia"/>
        </w:rPr>
        <w:t>服务团队成员；合作期间如发现该员工</w:t>
      </w:r>
      <w:r>
        <w:t>以我公司名义</w:t>
      </w:r>
      <w:r>
        <w:rPr>
          <w:rFonts w:hint="eastAsia"/>
        </w:rPr>
        <w:t>与</w:t>
      </w:r>
      <w:r>
        <w:t>蒙牛集团进行</w:t>
      </w:r>
      <w:r>
        <w:rPr>
          <w:rFonts w:hint="eastAsia"/>
        </w:rPr>
        <w:t>相关业务往来，</w:t>
      </w:r>
      <w:r>
        <w:t>一经查实</w:t>
      </w:r>
      <w:r>
        <w:rPr>
          <w:rFonts w:hint="eastAsia"/>
        </w:rPr>
        <w:t>，</w:t>
      </w:r>
      <w:r>
        <w:t>我公司无条件接受蒙牛集团</w:t>
      </w:r>
      <w:r>
        <w:rPr>
          <w:rFonts w:hint="eastAsia"/>
        </w:rPr>
        <w:t>《阳光协议》中</w:t>
      </w:r>
      <w:r>
        <w:t>的</w:t>
      </w:r>
      <w:r>
        <w:rPr>
          <w:rFonts w:hint="eastAsia"/>
        </w:rPr>
        <w:t>相关</w:t>
      </w:r>
      <w:r>
        <w:t>处理</w:t>
      </w:r>
      <w:r>
        <w:rPr>
          <w:rFonts w:hint="eastAsia"/>
        </w:rPr>
        <w:t>条款。</w:t>
      </w:r>
    </w:p>
    <w:p w14:paraId="6C7432DD">
      <w:pPr>
        <w:spacing w:line="320" w:lineRule="exact"/>
        <w:jc w:val="left"/>
      </w:pPr>
    </w:p>
    <w:p w14:paraId="4CF20A39">
      <w:pPr>
        <w:spacing w:line="320" w:lineRule="exact"/>
        <w:jc w:val="left"/>
      </w:pPr>
      <w:r>
        <w:t>公司</w:t>
      </w:r>
      <w:r>
        <w:rPr>
          <w:rFonts w:hint="eastAsia"/>
        </w:rPr>
        <w:t>全称（公章）：</w:t>
      </w:r>
    </w:p>
    <w:p w14:paraId="308B01D6">
      <w:pPr>
        <w:spacing w:line="320" w:lineRule="exact"/>
        <w:jc w:val="left"/>
      </w:pPr>
    </w:p>
    <w:p w14:paraId="4628DC62">
      <w:pPr>
        <w:spacing w:line="320" w:lineRule="exact"/>
        <w:jc w:val="left"/>
      </w:pPr>
      <w:r>
        <w:rPr>
          <w:rFonts w:hint="eastAsia"/>
        </w:rPr>
        <w:t>法定代表人</w:t>
      </w:r>
      <w:r>
        <w:t>或</w:t>
      </w:r>
      <w:r>
        <w:rPr>
          <w:rFonts w:hint="eastAsia"/>
        </w:rPr>
        <w:t>被授权委托人（签字或印章）：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lvetica">
    <w:altName w:val="Segoe Print"/>
    <w:panose1 w:val="00000000000000000000"/>
    <w:charset w:val="00"/>
    <w:family w:val="auto"/>
    <w:pitch w:val="default"/>
    <w:sig w:usb0="00000000" w:usb1="00000000" w:usb2="00000000" w:usb3="00000000" w:csb0="2000019F" w:csb1="4F01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iNWI1Nzc0YmRhNzc4MWNiMWVhMjY4NzZkMmY0NmIifQ=="/>
  </w:docVars>
  <w:rsids>
    <w:rsidRoot w:val="000F4331"/>
    <w:rsid w:val="000055C5"/>
    <w:rsid w:val="00042430"/>
    <w:rsid w:val="000522AE"/>
    <w:rsid w:val="0005320F"/>
    <w:rsid w:val="00085BA0"/>
    <w:rsid w:val="000B037B"/>
    <w:rsid w:val="000F4331"/>
    <w:rsid w:val="00106509"/>
    <w:rsid w:val="00110AF0"/>
    <w:rsid w:val="00125794"/>
    <w:rsid w:val="001349AE"/>
    <w:rsid w:val="00173167"/>
    <w:rsid w:val="001B6352"/>
    <w:rsid w:val="001C0779"/>
    <w:rsid w:val="001C54AE"/>
    <w:rsid w:val="001D7D0E"/>
    <w:rsid w:val="0021010E"/>
    <w:rsid w:val="00216ABB"/>
    <w:rsid w:val="0023151B"/>
    <w:rsid w:val="00232F03"/>
    <w:rsid w:val="00237EB1"/>
    <w:rsid w:val="0024228C"/>
    <w:rsid w:val="00265948"/>
    <w:rsid w:val="002A5043"/>
    <w:rsid w:val="002A7F81"/>
    <w:rsid w:val="002F1A40"/>
    <w:rsid w:val="00301A57"/>
    <w:rsid w:val="00332A71"/>
    <w:rsid w:val="0038487B"/>
    <w:rsid w:val="003B6EF3"/>
    <w:rsid w:val="003D3615"/>
    <w:rsid w:val="003E26EB"/>
    <w:rsid w:val="003F4823"/>
    <w:rsid w:val="00405BE5"/>
    <w:rsid w:val="00414489"/>
    <w:rsid w:val="0041481A"/>
    <w:rsid w:val="00453875"/>
    <w:rsid w:val="004612AA"/>
    <w:rsid w:val="004631BA"/>
    <w:rsid w:val="00463426"/>
    <w:rsid w:val="00467241"/>
    <w:rsid w:val="00474756"/>
    <w:rsid w:val="004C38AE"/>
    <w:rsid w:val="004D52F0"/>
    <w:rsid w:val="005025E7"/>
    <w:rsid w:val="005214BF"/>
    <w:rsid w:val="00534391"/>
    <w:rsid w:val="00541CF2"/>
    <w:rsid w:val="00580FD7"/>
    <w:rsid w:val="005831E4"/>
    <w:rsid w:val="005849C7"/>
    <w:rsid w:val="005A31DD"/>
    <w:rsid w:val="005D031E"/>
    <w:rsid w:val="005D3C7A"/>
    <w:rsid w:val="005D6697"/>
    <w:rsid w:val="005E1337"/>
    <w:rsid w:val="00607DB9"/>
    <w:rsid w:val="0065311C"/>
    <w:rsid w:val="00656C63"/>
    <w:rsid w:val="00666EE6"/>
    <w:rsid w:val="00667FF2"/>
    <w:rsid w:val="00671957"/>
    <w:rsid w:val="006A5F2C"/>
    <w:rsid w:val="006B6C3A"/>
    <w:rsid w:val="006C345F"/>
    <w:rsid w:val="00713F62"/>
    <w:rsid w:val="00727111"/>
    <w:rsid w:val="00747614"/>
    <w:rsid w:val="0076635A"/>
    <w:rsid w:val="007845BE"/>
    <w:rsid w:val="00791ABD"/>
    <w:rsid w:val="00796E07"/>
    <w:rsid w:val="007B7593"/>
    <w:rsid w:val="007F1209"/>
    <w:rsid w:val="0080323E"/>
    <w:rsid w:val="008064F3"/>
    <w:rsid w:val="008107ED"/>
    <w:rsid w:val="0082709A"/>
    <w:rsid w:val="008403DB"/>
    <w:rsid w:val="00874746"/>
    <w:rsid w:val="00890D17"/>
    <w:rsid w:val="008973CD"/>
    <w:rsid w:val="008C4025"/>
    <w:rsid w:val="008D73B8"/>
    <w:rsid w:val="008F0AD0"/>
    <w:rsid w:val="008F20F6"/>
    <w:rsid w:val="00902120"/>
    <w:rsid w:val="00907922"/>
    <w:rsid w:val="00921E54"/>
    <w:rsid w:val="0093095A"/>
    <w:rsid w:val="00964DED"/>
    <w:rsid w:val="0098500F"/>
    <w:rsid w:val="009A53E0"/>
    <w:rsid w:val="009C0E42"/>
    <w:rsid w:val="009E0A16"/>
    <w:rsid w:val="009E75DA"/>
    <w:rsid w:val="00A03053"/>
    <w:rsid w:val="00A311EC"/>
    <w:rsid w:val="00A41EF2"/>
    <w:rsid w:val="00A4341F"/>
    <w:rsid w:val="00A451AA"/>
    <w:rsid w:val="00A96A67"/>
    <w:rsid w:val="00AB418C"/>
    <w:rsid w:val="00AC49D0"/>
    <w:rsid w:val="00AD0824"/>
    <w:rsid w:val="00AF61E6"/>
    <w:rsid w:val="00B05555"/>
    <w:rsid w:val="00B21F1E"/>
    <w:rsid w:val="00B26049"/>
    <w:rsid w:val="00B3033E"/>
    <w:rsid w:val="00B33684"/>
    <w:rsid w:val="00B43094"/>
    <w:rsid w:val="00B54981"/>
    <w:rsid w:val="00B54A99"/>
    <w:rsid w:val="00B671B0"/>
    <w:rsid w:val="00B746BC"/>
    <w:rsid w:val="00BB598C"/>
    <w:rsid w:val="00BB6C39"/>
    <w:rsid w:val="00BE311D"/>
    <w:rsid w:val="00C13A86"/>
    <w:rsid w:val="00C23AF0"/>
    <w:rsid w:val="00C42B89"/>
    <w:rsid w:val="00C849F7"/>
    <w:rsid w:val="00C92673"/>
    <w:rsid w:val="00CE4DE5"/>
    <w:rsid w:val="00D25FE5"/>
    <w:rsid w:val="00D30536"/>
    <w:rsid w:val="00D54FF0"/>
    <w:rsid w:val="00D64AE1"/>
    <w:rsid w:val="00D9254B"/>
    <w:rsid w:val="00DA3413"/>
    <w:rsid w:val="00DC0575"/>
    <w:rsid w:val="00DD58B2"/>
    <w:rsid w:val="00DD6CCE"/>
    <w:rsid w:val="00E03714"/>
    <w:rsid w:val="00E03B81"/>
    <w:rsid w:val="00E13822"/>
    <w:rsid w:val="00E21364"/>
    <w:rsid w:val="00E46AD2"/>
    <w:rsid w:val="00E56BDA"/>
    <w:rsid w:val="00E76EB1"/>
    <w:rsid w:val="00EA1469"/>
    <w:rsid w:val="00EA389B"/>
    <w:rsid w:val="00EA76B7"/>
    <w:rsid w:val="00ED6E48"/>
    <w:rsid w:val="00F01A43"/>
    <w:rsid w:val="00F1123A"/>
    <w:rsid w:val="00FD24A5"/>
    <w:rsid w:val="00FF496E"/>
    <w:rsid w:val="039D7B38"/>
    <w:rsid w:val="04FA474C"/>
    <w:rsid w:val="091D0DD3"/>
    <w:rsid w:val="0A40121D"/>
    <w:rsid w:val="0ABA2D7D"/>
    <w:rsid w:val="0AC0235E"/>
    <w:rsid w:val="0AC43BFC"/>
    <w:rsid w:val="0D2E1801"/>
    <w:rsid w:val="0E417312"/>
    <w:rsid w:val="0EE505E5"/>
    <w:rsid w:val="10C36943"/>
    <w:rsid w:val="11AA3524"/>
    <w:rsid w:val="11AD707B"/>
    <w:rsid w:val="122B4561"/>
    <w:rsid w:val="14586297"/>
    <w:rsid w:val="146A5814"/>
    <w:rsid w:val="14F670A8"/>
    <w:rsid w:val="1545711D"/>
    <w:rsid w:val="15DB44F0"/>
    <w:rsid w:val="160B0931"/>
    <w:rsid w:val="172E0462"/>
    <w:rsid w:val="17DB07D7"/>
    <w:rsid w:val="183D6D9C"/>
    <w:rsid w:val="19822FEC"/>
    <w:rsid w:val="19A8621E"/>
    <w:rsid w:val="1ABA0B77"/>
    <w:rsid w:val="1B2D30F7"/>
    <w:rsid w:val="1B6A60FA"/>
    <w:rsid w:val="1C8E5E18"/>
    <w:rsid w:val="1E3F744D"/>
    <w:rsid w:val="1E6D7CAF"/>
    <w:rsid w:val="20B816B5"/>
    <w:rsid w:val="20D5466F"/>
    <w:rsid w:val="23E4305E"/>
    <w:rsid w:val="23FC3FAF"/>
    <w:rsid w:val="249976FB"/>
    <w:rsid w:val="269C1F13"/>
    <w:rsid w:val="26B26BA7"/>
    <w:rsid w:val="278C564A"/>
    <w:rsid w:val="283018EA"/>
    <w:rsid w:val="28A92B88"/>
    <w:rsid w:val="28C93473"/>
    <w:rsid w:val="28F120D2"/>
    <w:rsid w:val="2A485144"/>
    <w:rsid w:val="2CE455E0"/>
    <w:rsid w:val="2F25260C"/>
    <w:rsid w:val="300F0BC6"/>
    <w:rsid w:val="312B5ED3"/>
    <w:rsid w:val="32582CF8"/>
    <w:rsid w:val="327A4C1D"/>
    <w:rsid w:val="329420DC"/>
    <w:rsid w:val="33093FF2"/>
    <w:rsid w:val="335A577D"/>
    <w:rsid w:val="35325A82"/>
    <w:rsid w:val="353D29F0"/>
    <w:rsid w:val="37643EED"/>
    <w:rsid w:val="37923D04"/>
    <w:rsid w:val="39277A5B"/>
    <w:rsid w:val="397D3044"/>
    <w:rsid w:val="3A0970FE"/>
    <w:rsid w:val="3A451DB4"/>
    <w:rsid w:val="3B4E58F1"/>
    <w:rsid w:val="3B77318A"/>
    <w:rsid w:val="3C805325"/>
    <w:rsid w:val="3CB7686D"/>
    <w:rsid w:val="3D5ED050"/>
    <w:rsid w:val="3E1C5112"/>
    <w:rsid w:val="3ECA2888"/>
    <w:rsid w:val="3F12422F"/>
    <w:rsid w:val="3F69E7BD"/>
    <w:rsid w:val="3F927779"/>
    <w:rsid w:val="42083B9D"/>
    <w:rsid w:val="44F05012"/>
    <w:rsid w:val="46B53E1D"/>
    <w:rsid w:val="47D46525"/>
    <w:rsid w:val="49F7299F"/>
    <w:rsid w:val="4ACE1952"/>
    <w:rsid w:val="4BCD7E5B"/>
    <w:rsid w:val="4CC83795"/>
    <w:rsid w:val="4D027691"/>
    <w:rsid w:val="4DE31025"/>
    <w:rsid w:val="4E45017D"/>
    <w:rsid w:val="505521CD"/>
    <w:rsid w:val="52B458D1"/>
    <w:rsid w:val="52ED493F"/>
    <w:rsid w:val="536E5A80"/>
    <w:rsid w:val="53D343C0"/>
    <w:rsid w:val="53FA5112"/>
    <w:rsid w:val="54615FF5"/>
    <w:rsid w:val="54DA0EF3"/>
    <w:rsid w:val="567FDF9A"/>
    <w:rsid w:val="56A874FB"/>
    <w:rsid w:val="57462870"/>
    <w:rsid w:val="57AF6667"/>
    <w:rsid w:val="58E14F46"/>
    <w:rsid w:val="59C04B5B"/>
    <w:rsid w:val="59F14D15"/>
    <w:rsid w:val="59F601E2"/>
    <w:rsid w:val="5AD36B10"/>
    <w:rsid w:val="5CD1707F"/>
    <w:rsid w:val="5CFD7E74"/>
    <w:rsid w:val="5DCD5A99"/>
    <w:rsid w:val="5F1C5490"/>
    <w:rsid w:val="5F294F51"/>
    <w:rsid w:val="60457B68"/>
    <w:rsid w:val="609C26CF"/>
    <w:rsid w:val="61D6007B"/>
    <w:rsid w:val="623C4F9B"/>
    <w:rsid w:val="6486074F"/>
    <w:rsid w:val="64C97F14"/>
    <w:rsid w:val="654E3FC5"/>
    <w:rsid w:val="66AD4FF2"/>
    <w:rsid w:val="68710CD3"/>
    <w:rsid w:val="687F6E5C"/>
    <w:rsid w:val="68C53F3C"/>
    <w:rsid w:val="698067CB"/>
    <w:rsid w:val="6A471405"/>
    <w:rsid w:val="6ADC731B"/>
    <w:rsid w:val="6C4B29AA"/>
    <w:rsid w:val="6CB22729"/>
    <w:rsid w:val="6F484F7F"/>
    <w:rsid w:val="6F60676D"/>
    <w:rsid w:val="72EF022C"/>
    <w:rsid w:val="75022074"/>
    <w:rsid w:val="758B76A3"/>
    <w:rsid w:val="776668EA"/>
    <w:rsid w:val="776E694D"/>
    <w:rsid w:val="77B274B0"/>
    <w:rsid w:val="796A166D"/>
    <w:rsid w:val="7A0B19CB"/>
    <w:rsid w:val="7BFA3AA5"/>
    <w:rsid w:val="7CD871A5"/>
    <w:rsid w:val="7DBE7175"/>
    <w:rsid w:val="7E6719AA"/>
    <w:rsid w:val="7F385010"/>
    <w:rsid w:val="7FB568F3"/>
    <w:rsid w:val="ECFEA555"/>
    <w:rsid w:val="EF76316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unhideWhenUsed/>
    <w:qFormat/>
    <w:uiPriority w:val="99"/>
    <w:pPr>
      <w:jc w:val="left"/>
    </w:pPr>
  </w:style>
  <w:style w:type="paragraph" w:styleId="4">
    <w:name w:val="Body Text Indent"/>
    <w:basedOn w:val="1"/>
    <w:link w:val="16"/>
    <w:qFormat/>
    <w:uiPriority w:val="0"/>
    <w:pPr>
      <w:spacing w:line="360" w:lineRule="auto"/>
      <w:ind w:firstLine="420"/>
    </w:pPr>
    <w:rPr>
      <w:rFonts w:ascii="Cambria" w:hAnsi="Cambria"/>
      <w:szCs w:val="20"/>
    </w:r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Body Text Indent 3"/>
    <w:basedOn w:val="1"/>
    <w:link w:val="17"/>
    <w:qFormat/>
    <w:uiPriority w:val="0"/>
    <w:pPr>
      <w:ind w:left="720"/>
    </w:pPr>
    <w:rPr>
      <w:rFonts w:ascii="Cambria" w:hAnsi="Cambria"/>
      <w:szCs w:val="20"/>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2">
    <w:name w:val="Hyperlink"/>
    <w:qFormat/>
    <w:uiPriority w:val="0"/>
    <w:rPr>
      <w:color w:val="0000FF"/>
      <w:u w:val="none"/>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正文文本缩进 字符"/>
    <w:basedOn w:val="11"/>
    <w:link w:val="4"/>
    <w:qFormat/>
    <w:uiPriority w:val="0"/>
    <w:rPr>
      <w:rFonts w:ascii="Cambria" w:hAnsi="Cambria"/>
      <w:kern w:val="2"/>
      <w:sz w:val="21"/>
    </w:rPr>
  </w:style>
  <w:style w:type="character" w:customStyle="1" w:styleId="17">
    <w:name w:val="正文文本缩进 3 字符"/>
    <w:basedOn w:val="11"/>
    <w:link w:val="8"/>
    <w:qFormat/>
    <w:uiPriority w:val="0"/>
    <w:rPr>
      <w:rFonts w:ascii="Cambria" w:hAnsi="Cambria"/>
      <w:kern w:val="2"/>
      <w:sz w:val="21"/>
    </w:rPr>
  </w:style>
  <w:style w:type="paragraph" w:customStyle="1" w:styleId="18">
    <w:name w:val="Default"/>
    <w:qFormat/>
    <w:uiPriority w:val="0"/>
    <w:pPr>
      <w:widowControl w:val="0"/>
      <w:autoSpaceDE w:val="0"/>
      <w:autoSpaceDN w:val="0"/>
      <w:adjustRightInd w:val="0"/>
      <w:spacing w:line="192" w:lineRule="auto"/>
    </w:pPr>
    <w:rPr>
      <w:rFonts w:ascii="Times New Roman" w:hAnsi="Times New Roman" w:eastAsia="宋体" w:cs="Times New Roman"/>
      <w:color w:val="000000"/>
      <w:sz w:val="24"/>
      <w:szCs w:val="24"/>
      <w:lang w:val="en-US" w:eastAsia="zh-CN" w:bidi="ar-SA"/>
    </w:rPr>
  </w:style>
  <w:style w:type="character" w:customStyle="1" w:styleId="19">
    <w:name w:val="批注框文本 字符"/>
    <w:basedOn w:val="11"/>
    <w:link w:val="5"/>
    <w:semiHidden/>
    <w:qFormat/>
    <w:uiPriority w:val="99"/>
    <w:rPr>
      <w:kern w:val="2"/>
      <w:sz w:val="18"/>
      <w:szCs w:val="18"/>
    </w:rPr>
  </w:style>
  <w:style w:type="paragraph" w:customStyle="1" w:styleId="20">
    <w:name w:val="p1"/>
    <w:basedOn w:val="1"/>
    <w:uiPriority w:val="0"/>
    <w:pPr>
      <w:spacing w:before="0" w:beforeAutospacing="0" w:after="0" w:afterAutospacing="0"/>
      <w:ind w:left="0" w:right="0" w:firstLine="420"/>
      <w:jc w:val="left"/>
    </w:pPr>
    <w:rPr>
      <w:rFonts w:ascii="helvetica" w:hAnsi="helvetica" w:eastAsia="helvetica" w:cs="helvetica"/>
      <w:kern w:val="0"/>
      <w:sz w:val="21"/>
      <w:szCs w:val="21"/>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15</Pages>
  <Words>5703</Words>
  <Characters>6103</Characters>
  <Lines>51</Lines>
  <Paragraphs>14</Paragraphs>
  <TotalTime>2</TotalTime>
  <ScaleCrop>false</ScaleCrop>
  <LinksUpToDate>false</LinksUpToDate>
  <CharactersWithSpaces>6715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2017-11-29T22:37:00Z</dcterms:created>
  <dc:creator>0002219</dc:creator>
  <cp:lastModifiedBy>曹毅</cp:lastModifiedBy>
  <dcterms:modified xsi:type="dcterms:W3CDTF">2026-04-23T06:00:50Z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DA34A01216C11356142DAE69B2D36A10_43</vt:lpwstr>
  </property>
  <property fmtid="{D5CDD505-2E9C-101B-9397-08002B2CF9AE}" pid="4" name="KSOTemplateDocerSaveRecord">
    <vt:lpwstr>eyJoZGlkIjoiZjE0MTk0ZDczZDc3OGMwYmE5YWM0YTNiNmY3NmNkZTUiLCJ1c2VySWQiOiIxNjg3MjQxODUwIn0=</vt:lpwstr>
  </property>
</Properties>
</file>