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9AD4">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lang w:eastAsia="zh-CN"/>
        </w:rPr>
      </w:pPr>
    </w:p>
    <w:p w14:paraId="1C4BF55F">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蒙牛乳业集团2026-2028年度制冷设备维修、改造升级项目</w:t>
      </w:r>
      <w:r>
        <w:rPr>
          <w:rFonts w:hint="eastAsia" w:ascii="仿宋" w:hAnsi="仿宋" w:eastAsia="仿宋" w:cs="仿宋"/>
          <w:b/>
          <w:bCs/>
          <w:kern w:val="0"/>
          <w:sz w:val="36"/>
          <w:szCs w:val="36"/>
          <w:highlight w:val="none"/>
        </w:rPr>
        <w:t>竞争性谈判信息公告</w:t>
      </w:r>
    </w:p>
    <w:p w14:paraId="1AB81FB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蒙牛乳业集团2026-2028年度制冷设备维修、改造升级项目</w:t>
      </w:r>
      <w:r>
        <w:rPr>
          <w:rFonts w:hint="eastAsia" w:ascii="仿宋" w:hAnsi="仿宋" w:eastAsia="仿宋" w:cs="仿宋"/>
          <w:sz w:val="28"/>
          <w:szCs w:val="28"/>
          <w:highlight w:val="none"/>
        </w:rPr>
        <w:t>进行竞争性谈判，欢迎符合资格条件的投标人参加。</w:t>
      </w:r>
    </w:p>
    <w:p w14:paraId="2DAAB48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一、项目编号：MNCGJH-20260328-0004</w:t>
      </w:r>
    </w:p>
    <w:p w14:paraId="1A38AF8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蒙牛乳业集团2026-2028年度制冷设备维修、改造升级项目</w:t>
      </w:r>
    </w:p>
    <w:p w14:paraId="79B39560">
      <w:pPr>
        <w:pStyle w:val="2"/>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6C45810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textAlignment w:val="auto"/>
        <w:rPr>
          <w:rFonts w:hint="default" w:ascii="仿宋" w:hAnsi="仿宋" w:eastAsia="仿宋" w:cs="仿宋"/>
          <w:sz w:val="28"/>
          <w:szCs w:val="28"/>
          <w:highlight w:val="none"/>
          <w:lang w:eastAsia="zh-CN"/>
          <w:woUserID w:val="1"/>
        </w:rPr>
      </w:pPr>
      <w:r>
        <w:rPr>
          <w:rFonts w:hint="eastAsia" w:ascii="仿宋" w:hAnsi="仿宋" w:eastAsia="仿宋" w:cs="仿宋"/>
          <w:sz w:val="28"/>
          <w:szCs w:val="28"/>
          <w:highlight w:val="none"/>
          <w:lang w:val="en-US" w:eastAsia="zh-CN"/>
        </w:rPr>
        <w:t>为保障制冷系统安全、稳定、高效、节能运行，对氨制冷及氟制冷两种设备（涵盖制冷机组、压缩机、冷凝器、蒸发器、风机水泵、控制系统）开展年度维修、故障应急处置及针对性升级改造服务</w:t>
      </w:r>
      <w:r>
        <w:rPr>
          <w:rFonts w:hint="default" w:ascii="仿宋" w:hAnsi="仿宋" w:eastAsia="仿宋" w:cs="仿宋"/>
          <w:sz w:val="28"/>
          <w:szCs w:val="28"/>
          <w:highlight w:val="none"/>
          <w:lang w:eastAsia="zh-CN"/>
          <w:woUserID w:val="1"/>
        </w:rPr>
        <w:t>，现运行的制冷系统级设备品牌含：</w:t>
      </w:r>
      <w:r>
        <w:rPr>
          <w:rFonts w:hint="eastAsia" w:ascii="仿宋" w:hAnsi="仿宋" w:eastAsia="仿宋" w:cs="仿宋"/>
          <w:sz w:val="28"/>
          <w:szCs w:val="28"/>
          <w:highlight w:val="none"/>
          <w:lang w:val="en-US" w:eastAsia="zh-CN"/>
          <w:woUserID w:val="1"/>
        </w:rPr>
        <w:t>大连冰山、大连源峰、冰轮环境、烟台冰轮、大连冷冻机、福建雪人、大连冰江、大连亚尼、西安联盛、武汉盟特、大连瑞雪</w:t>
      </w:r>
      <w:r>
        <w:rPr>
          <w:rFonts w:hint="default" w:ascii="仿宋" w:hAnsi="仿宋" w:eastAsia="仿宋" w:cs="仿宋"/>
          <w:sz w:val="28"/>
          <w:szCs w:val="28"/>
          <w:highlight w:val="none"/>
          <w:lang w:eastAsia="zh-CN"/>
          <w:woUserID w:val="1"/>
        </w:rPr>
        <w:t>、</w:t>
      </w:r>
      <w:r>
        <w:rPr>
          <w:rFonts w:hint="eastAsia" w:ascii="仿宋" w:hAnsi="仿宋" w:eastAsia="仿宋" w:cs="仿宋"/>
          <w:sz w:val="28"/>
          <w:szCs w:val="28"/>
          <w:highlight w:val="none"/>
          <w:lang w:val="en-US" w:eastAsia="zh-CN"/>
          <w:woUserID w:val="1"/>
        </w:rPr>
        <w:t>沃尔达</w:t>
      </w:r>
      <w:r>
        <w:rPr>
          <w:rFonts w:hint="default" w:ascii="仿宋" w:hAnsi="仿宋" w:eastAsia="仿宋" w:cs="仿宋"/>
          <w:sz w:val="28"/>
          <w:szCs w:val="28"/>
          <w:highlight w:val="none"/>
          <w:lang w:eastAsia="zh-CN"/>
          <w:woUserID w:val="1"/>
        </w:rPr>
        <w:t>、</w:t>
      </w:r>
      <w:r>
        <w:rPr>
          <w:rFonts w:hint="eastAsia" w:ascii="仿宋" w:hAnsi="仿宋" w:eastAsia="仿宋" w:cs="仿宋"/>
          <w:sz w:val="28"/>
          <w:szCs w:val="28"/>
          <w:highlight w:val="none"/>
          <w:lang w:val="en-US" w:eastAsia="zh-CN"/>
          <w:woUserID w:val="1"/>
        </w:rPr>
        <w:t>格力、南京天加、江森自控日立万宝、江西东成、无锡同方、ＢＡＣ冷却系统、大连亚尼、西安联盛、武汉盟特</w:t>
      </w:r>
      <w:r>
        <w:rPr>
          <w:rFonts w:hint="default" w:ascii="仿宋" w:hAnsi="仿宋" w:eastAsia="仿宋" w:cs="仿宋"/>
          <w:sz w:val="28"/>
          <w:szCs w:val="28"/>
          <w:highlight w:val="none"/>
          <w:lang w:eastAsia="zh-CN"/>
          <w:woUserID w:val="1"/>
        </w:rPr>
        <w:t>等，范围涵盖全国70家工厂，</w:t>
      </w:r>
      <w:r>
        <w:rPr>
          <w:rFonts w:hint="eastAsia" w:ascii="仿宋" w:hAnsi="仿宋" w:eastAsia="仿宋" w:cs="仿宋"/>
          <w:sz w:val="28"/>
          <w:szCs w:val="28"/>
          <w:highlight w:val="none"/>
          <w:lang w:val="en-US" w:eastAsia="zh-CN"/>
          <w:woUserID w:val="1"/>
        </w:rPr>
        <w:t>共</w:t>
      </w:r>
      <w:r>
        <w:rPr>
          <w:rFonts w:hint="default" w:ascii="仿宋" w:hAnsi="仿宋" w:eastAsia="仿宋" w:cs="仿宋"/>
          <w:sz w:val="28"/>
          <w:szCs w:val="28"/>
          <w:highlight w:val="none"/>
          <w:lang w:eastAsia="zh-CN"/>
          <w:woUserID w:val="1"/>
        </w:rPr>
        <w:t>分2个标段，标段划分如下：</w:t>
      </w:r>
    </w:p>
    <w:p w14:paraId="6601E1ED">
      <w:pPr>
        <w:pStyle w:val="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标段一：氨制冷</w:t>
      </w:r>
    </w:p>
    <w:p w14:paraId="3B88678E">
      <w:pPr>
        <w:pStyle w:val="2"/>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标段二：氟制冷</w:t>
      </w:r>
    </w:p>
    <w:p w14:paraId="644BBB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6731F0A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2E101FF1">
      <w:pPr>
        <w:adjustRightInd w:val="0"/>
        <w:snapToGrid w:val="0"/>
        <w:spacing w:line="360" w:lineRule="auto"/>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val="en-US" w:eastAsia="zh-CN"/>
        </w:rPr>
        <w:t>标段一：投标人必须具有</w:t>
      </w:r>
      <w:r>
        <w:rPr>
          <w:rFonts w:hint="default" w:ascii="仿宋" w:hAnsi="仿宋" w:eastAsia="仿宋" w:cs="仿宋"/>
          <w:b/>
          <w:bCs/>
          <w:color w:val="FF0000"/>
          <w:sz w:val="28"/>
          <w:szCs w:val="28"/>
          <w:highlight w:val="none"/>
          <w:lang w:eastAsia="zh-CN"/>
          <w:woUserID w:val="1"/>
        </w:rPr>
        <w:t>氨制冷</w:t>
      </w:r>
      <w:r>
        <w:rPr>
          <w:rFonts w:hint="default" w:ascii="仿宋" w:hAnsi="仿宋" w:eastAsia="仿宋" w:cs="仿宋"/>
          <w:color w:val="000000"/>
          <w:sz w:val="28"/>
          <w:szCs w:val="28"/>
          <w:highlight w:val="none"/>
          <w:lang w:eastAsia="zh-CN"/>
          <w:woUserID w:val="1"/>
        </w:rPr>
        <w:t>设备的销售</w:t>
      </w:r>
      <w:r>
        <w:rPr>
          <w:rFonts w:hint="eastAsia" w:ascii="仿宋" w:hAnsi="仿宋" w:eastAsia="仿宋" w:cs="仿宋"/>
          <w:b/>
          <w:bCs/>
          <w:color w:val="FF0000"/>
          <w:sz w:val="28"/>
          <w:szCs w:val="28"/>
          <w:highlight w:val="none"/>
          <w:lang w:val="en-US" w:eastAsia="zh-CN"/>
        </w:rPr>
        <w:t>及备品备件供货</w:t>
      </w:r>
      <w:r>
        <w:rPr>
          <w:rFonts w:hint="eastAsia" w:ascii="仿宋" w:hAnsi="仿宋" w:eastAsia="仿宋" w:cs="仿宋"/>
          <w:sz w:val="28"/>
          <w:szCs w:val="28"/>
          <w:highlight w:val="none"/>
          <w:lang w:val="en-US" w:eastAsia="zh-CN"/>
        </w:rPr>
        <w:t>、安装、维修、保养能力</w:t>
      </w:r>
      <w:r>
        <w:rPr>
          <w:rFonts w:hint="eastAsia" w:ascii="仿宋" w:hAnsi="仿宋" w:eastAsia="仿宋" w:cs="仿宋"/>
          <w:color w:val="000000"/>
          <w:sz w:val="28"/>
          <w:szCs w:val="28"/>
          <w:highlight w:val="none"/>
          <w:lang w:val="en-US" w:eastAsia="zh-CN"/>
        </w:rPr>
        <w:t>；</w:t>
      </w:r>
    </w:p>
    <w:p w14:paraId="469CF57C">
      <w:pPr>
        <w:pStyle w:val="2"/>
        <w:ind w:firstLine="840" w:firstLineChars="300"/>
        <w:rPr>
          <w:rFonts w:hint="eastAsia"/>
          <w:highlight w:val="none"/>
          <w:lang w:val="en-US" w:eastAsia="zh-CN"/>
        </w:rPr>
      </w:pPr>
      <w:r>
        <w:rPr>
          <w:rFonts w:hint="eastAsia" w:ascii="仿宋" w:hAnsi="仿宋" w:eastAsia="仿宋" w:cs="仿宋"/>
          <w:color w:val="000000"/>
          <w:sz w:val="28"/>
          <w:szCs w:val="28"/>
          <w:highlight w:val="none"/>
          <w:lang w:val="en-US" w:eastAsia="zh-CN"/>
        </w:rPr>
        <w:t>标段二：投标人必须具有</w:t>
      </w:r>
      <w:r>
        <w:rPr>
          <w:rFonts w:hint="default" w:ascii="仿宋" w:hAnsi="仿宋" w:eastAsia="仿宋" w:cs="仿宋"/>
          <w:b/>
          <w:bCs/>
          <w:color w:val="FF0000"/>
          <w:sz w:val="28"/>
          <w:szCs w:val="28"/>
          <w:highlight w:val="none"/>
          <w:lang w:eastAsia="zh-CN"/>
          <w:woUserID w:val="1"/>
        </w:rPr>
        <w:t>氟</w:t>
      </w:r>
      <w:r>
        <w:rPr>
          <w:rFonts w:hint="eastAsia" w:ascii="仿宋" w:hAnsi="仿宋" w:eastAsia="仿宋" w:cs="仿宋"/>
          <w:b/>
          <w:bCs/>
          <w:color w:val="FF0000"/>
          <w:sz w:val="28"/>
          <w:szCs w:val="28"/>
          <w:highlight w:val="none"/>
          <w:lang w:val="en-US" w:eastAsia="zh-CN"/>
        </w:rPr>
        <w:t>制冷</w:t>
      </w:r>
      <w:r>
        <w:rPr>
          <w:rFonts w:hint="default" w:ascii="仿宋" w:hAnsi="仿宋" w:eastAsia="仿宋" w:cs="仿宋"/>
          <w:sz w:val="28"/>
          <w:szCs w:val="28"/>
          <w:highlight w:val="none"/>
          <w:lang w:eastAsia="zh-CN"/>
          <w:woUserID w:val="1"/>
        </w:rPr>
        <w:t>设备的销售及</w:t>
      </w:r>
      <w:r>
        <w:rPr>
          <w:rFonts w:hint="eastAsia" w:ascii="仿宋" w:hAnsi="仿宋" w:eastAsia="仿宋" w:cs="仿宋"/>
          <w:b/>
          <w:bCs/>
          <w:color w:val="FF0000"/>
          <w:sz w:val="28"/>
          <w:szCs w:val="28"/>
          <w:highlight w:val="none"/>
          <w:lang w:val="en-US" w:eastAsia="zh-CN"/>
        </w:rPr>
        <w:t>及备品备件供货</w:t>
      </w:r>
      <w:r>
        <w:rPr>
          <w:rFonts w:hint="eastAsia" w:ascii="仿宋" w:hAnsi="仿宋" w:eastAsia="仿宋" w:cs="仿宋"/>
          <w:sz w:val="28"/>
          <w:szCs w:val="28"/>
          <w:highlight w:val="none"/>
          <w:lang w:val="en-US" w:eastAsia="zh-CN"/>
        </w:rPr>
        <w:t>、安装、维修、保养能力</w:t>
      </w:r>
      <w:r>
        <w:rPr>
          <w:rFonts w:hint="eastAsia" w:ascii="仿宋" w:hAnsi="仿宋" w:eastAsia="仿宋" w:cs="仿宋"/>
          <w:sz w:val="28"/>
          <w:szCs w:val="28"/>
          <w:highlight w:val="none"/>
          <w:lang w:val="en-US" w:eastAsia="zh-CN"/>
        </w:rPr>
        <w:t>；</w:t>
      </w:r>
    </w:p>
    <w:p w14:paraId="190B75B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lang w:eastAsia="zh-CN"/>
        </w:rPr>
        <w:t>机电工程施工总承包乙级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lang w:eastAsia="zh-CN"/>
        </w:rPr>
        <w:t>机电工程施工总承包</w:t>
      </w:r>
      <w:r>
        <w:rPr>
          <w:rFonts w:hint="eastAsia" w:ascii="仿宋" w:hAnsi="仿宋" w:eastAsia="仿宋" w:cs="仿宋"/>
          <w:color w:val="FF0000"/>
          <w:sz w:val="28"/>
          <w:szCs w:val="28"/>
          <w:highlight w:val="none"/>
          <w:lang w:val="en-US" w:eastAsia="zh-CN"/>
        </w:rPr>
        <w:t>二</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0B57454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425AE1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w:t>
      </w:r>
      <w:r>
        <w:rPr>
          <w:rFonts w:hint="eastAsia" w:ascii="仿宋" w:hAnsi="仿宋" w:eastAsia="仿宋" w:cs="仿宋"/>
          <w:sz w:val="28"/>
          <w:szCs w:val="28"/>
          <w:highlight w:val="none"/>
          <w:lang w:val="en-US" w:eastAsia="zh-CN"/>
        </w:rPr>
        <w:t>拟派项目经理</w:t>
      </w:r>
      <w:r>
        <w:rPr>
          <w:rFonts w:hint="eastAsia" w:ascii="仿宋" w:hAnsi="仿宋" w:eastAsia="仿宋" w:cs="仿宋"/>
          <w:sz w:val="28"/>
          <w:szCs w:val="28"/>
          <w:highlight w:val="none"/>
        </w:rPr>
        <w:t>须为在本企业注册的建造师，具备二级及以上注册建造师执业资格和有效的安全生产考核合格证书（须为项目负责人安全生产考核合格证，即“建安B”类证）</w:t>
      </w:r>
      <w:r>
        <w:rPr>
          <w:rFonts w:hint="eastAsia" w:ascii="仿宋" w:hAnsi="仿宋" w:eastAsia="仿宋" w:cs="仿宋"/>
          <w:sz w:val="28"/>
          <w:szCs w:val="28"/>
          <w:highlight w:val="none"/>
          <w:lang w:eastAsia="zh-CN"/>
        </w:rPr>
        <w:t>；</w:t>
      </w:r>
    </w:p>
    <w:p w14:paraId="4A081EFE">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618FA116">
      <w:pPr>
        <w:adjustRightInd w:val="0"/>
        <w:snapToGrid w:val="0"/>
        <w:spacing w:line="360" w:lineRule="auto"/>
        <w:ind w:firstLine="560" w:firstLineChars="200"/>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7、投标</w:t>
      </w:r>
      <w:r>
        <w:rPr>
          <w:rFonts w:hint="eastAsia" w:ascii="仿宋" w:hAnsi="仿宋" w:eastAsia="仿宋" w:cs="仿宋"/>
          <w:color w:val="FF0000"/>
          <w:sz w:val="28"/>
          <w:szCs w:val="28"/>
          <w:highlight w:val="none"/>
        </w:rPr>
        <w:t>人须具有</w:t>
      </w:r>
      <w:r>
        <w:rPr>
          <w:rFonts w:hint="eastAsia" w:ascii="仿宋" w:hAnsi="仿宋" w:eastAsia="仿宋" w:cs="仿宋"/>
          <w:color w:val="FF0000"/>
          <w:sz w:val="28"/>
          <w:szCs w:val="28"/>
          <w:highlight w:val="none"/>
          <w:lang w:eastAsia="zh-CN"/>
        </w:rPr>
        <w:t>市场监督管理部门</w:t>
      </w:r>
      <w:r>
        <w:rPr>
          <w:rFonts w:hint="eastAsia" w:ascii="仿宋" w:hAnsi="仿宋" w:eastAsia="仿宋" w:cs="仿宋"/>
          <w:color w:val="FF0000"/>
          <w:sz w:val="28"/>
          <w:szCs w:val="28"/>
          <w:highlight w:val="none"/>
        </w:rPr>
        <w:t>颁发的《中华人民共和国特种设备生产许可证》</w:t>
      </w:r>
      <w:r>
        <w:rPr>
          <w:rFonts w:hint="eastAsia" w:ascii="仿宋" w:hAnsi="仿宋" w:eastAsia="仿宋" w:cs="仿宋"/>
          <w:color w:val="FF0000"/>
          <w:sz w:val="28"/>
          <w:szCs w:val="28"/>
          <w:highlight w:val="none"/>
          <w:lang w:val="en-US" w:eastAsia="zh-CN"/>
        </w:rPr>
        <w:t>工业管道安装（</w:t>
      </w:r>
      <w:r>
        <w:rPr>
          <w:rFonts w:hint="eastAsia" w:ascii="仿宋" w:hAnsi="仿宋" w:eastAsia="仿宋" w:cs="仿宋"/>
          <w:color w:val="FF0000"/>
          <w:sz w:val="28"/>
          <w:szCs w:val="28"/>
          <w:highlight w:val="none"/>
        </w:rPr>
        <w:t>GC2</w:t>
      </w:r>
      <w:r>
        <w:rPr>
          <w:rFonts w:hint="eastAsia" w:ascii="仿宋" w:hAnsi="仿宋" w:eastAsia="仿宋" w:cs="仿宋"/>
          <w:color w:val="FF0000"/>
          <w:sz w:val="28"/>
          <w:szCs w:val="28"/>
          <w:highlight w:val="none"/>
          <w:lang w:val="en-US" w:eastAsia="zh-CN"/>
        </w:rPr>
        <w:t>）</w:t>
      </w:r>
      <w:r>
        <w:rPr>
          <w:rFonts w:hint="eastAsia" w:ascii="仿宋" w:hAnsi="仿宋" w:eastAsia="仿宋" w:cs="仿宋"/>
          <w:color w:val="FF0000"/>
          <w:sz w:val="28"/>
          <w:szCs w:val="28"/>
          <w:highlight w:val="none"/>
        </w:rPr>
        <w:t>级及以上资质；</w:t>
      </w:r>
    </w:p>
    <w:p w14:paraId="0A44996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8、投标人必须具有一般纳税人资格；</w:t>
      </w:r>
    </w:p>
    <w:p w14:paraId="32036640">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7E78FB26">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7FBE5859">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11、投标人须具有（2022年-2024年或2023年-2025年）财务报表或经第三方审计的财务报告（新成立企业提供成立年度至投标截止日的财务审计报告或财务报表）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10360D2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537E093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2337B697">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247EFBC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0CCDA917">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1F85735A">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16DD3F73">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153FC0B9">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383DBBE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6CF9452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70"/>
      <w:bookmarkStart w:id="1" w:name="OLE_LINK69"/>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lang w:eastAsia="zh-CN"/>
        </w:rPr>
        <w:t>；</w:t>
      </w:r>
    </w:p>
    <w:p w14:paraId="11F9308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7C587950">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lang w:eastAsia="zh-CN"/>
        </w:rPr>
        <w:t>；</w:t>
      </w:r>
    </w:p>
    <w:p w14:paraId="37E32B98">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3）标段一：</w:t>
      </w:r>
      <w:r>
        <w:rPr>
          <w:rFonts w:hint="eastAsia" w:ascii="仿宋" w:hAnsi="仿宋" w:eastAsia="仿宋" w:cs="仿宋"/>
          <w:color w:val="000000"/>
          <w:sz w:val="28"/>
          <w:szCs w:val="28"/>
          <w:highlight w:val="none"/>
        </w:rPr>
        <w:t>提供</w:t>
      </w:r>
      <w:r>
        <w:rPr>
          <w:rFonts w:hint="default" w:ascii="仿宋" w:hAnsi="仿宋" w:eastAsia="仿宋" w:cs="仿宋"/>
          <w:b/>
          <w:bCs/>
          <w:color w:val="FF0000"/>
          <w:sz w:val="28"/>
          <w:szCs w:val="28"/>
          <w:highlight w:val="none"/>
          <w:lang w:eastAsia="zh-CN"/>
          <w:woUserID w:val="1"/>
        </w:rPr>
        <w:t>氨制冷</w:t>
      </w:r>
      <w:r>
        <w:rPr>
          <w:rFonts w:hint="default" w:ascii="仿宋" w:hAnsi="仿宋" w:eastAsia="仿宋" w:cs="仿宋"/>
          <w:color w:val="000000"/>
          <w:sz w:val="28"/>
          <w:szCs w:val="28"/>
          <w:highlight w:val="none"/>
          <w:lang w:eastAsia="zh-CN"/>
          <w:woUserID w:val="1"/>
        </w:rPr>
        <w:t>设备的销售</w:t>
      </w:r>
      <w:r>
        <w:rPr>
          <w:rFonts w:hint="eastAsia" w:ascii="仿宋" w:hAnsi="仿宋" w:eastAsia="仿宋" w:cs="仿宋"/>
          <w:b/>
          <w:bCs/>
          <w:color w:val="FF0000"/>
          <w:sz w:val="28"/>
          <w:szCs w:val="28"/>
          <w:highlight w:val="none"/>
          <w:lang w:val="en-US" w:eastAsia="zh-CN"/>
        </w:rPr>
        <w:t>及备品备件供货</w:t>
      </w:r>
      <w:r>
        <w:rPr>
          <w:rFonts w:hint="eastAsia" w:ascii="仿宋" w:hAnsi="仿宋" w:eastAsia="仿宋" w:cs="仿宋"/>
          <w:sz w:val="28"/>
          <w:szCs w:val="28"/>
          <w:highlight w:val="none"/>
          <w:lang w:val="en-US" w:eastAsia="zh-CN"/>
        </w:rPr>
        <w:t>、安装、维修、保养能力</w:t>
      </w:r>
      <w:r>
        <w:rPr>
          <w:rFonts w:hint="eastAsia" w:ascii="仿宋" w:hAnsi="仿宋" w:eastAsia="仿宋" w:cs="仿宋"/>
          <w:sz w:val="28"/>
          <w:szCs w:val="28"/>
          <w:highlight w:val="none"/>
          <w:lang w:val="en-US" w:eastAsia="zh-CN"/>
        </w:rPr>
        <w:t>承诺书</w:t>
      </w:r>
      <w:r>
        <w:rPr>
          <w:rFonts w:hint="eastAsia" w:ascii="仿宋" w:hAnsi="仿宋" w:eastAsia="仿宋" w:cs="仿宋"/>
          <w:sz w:val="28"/>
          <w:szCs w:val="28"/>
          <w:highlight w:val="none"/>
          <w:lang w:eastAsia="zh-CN"/>
        </w:rPr>
        <w:t>；</w:t>
      </w:r>
    </w:p>
    <w:p w14:paraId="3166B927">
      <w:pPr>
        <w:adjustRightInd w:val="0"/>
        <w:snapToGrid w:val="0"/>
        <w:spacing w:line="360" w:lineRule="auto"/>
        <w:ind w:firstLine="1120" w:firstLineChars="400"/>
        <w:rPr>
          <w:rFonts w:hint="eastAsia"/>
          <w:highlight w:val="none"/>
          <w:lang w:eastAsia="zh-CN"/>
        </w:rPr>
      </w:pPr>
      <w:r>
        <w:rPr>
          <w:rFonts w:hint="eastAsia" w:ascii="仿宋" w:hAnsi="仿宋" w:eastAsia="仿宋" w:cs="仿宋"/>
          <w:sz w:val="28"/>
          <w:szCs w:val="28"/>
          <w:highlight w:val="none"/>
          <w:lang w:val="en-US" w:eastAsia="zh-CN"/>
        </w:rPr>
        <w:t>标段二：</w:t>
      </w:r>
      <w:r>
        <w:rPr>
          <w:rFonts w:hint="eastAsia" w:ascii="仿宋" w:hAnsi="仿宋" w:eastAsia="仿宋" w:cs="仿宋"/>
          <w:color w:val="000000"/>
          <w:sz w:val="28"/>
          <w:szCs w:val="28"/>
          <w:highlight w:val="none"/>
        </w:rPr>
        <w:t>提供</w:t>
      </w:r>
      <w:r>
        <w:rPr>
          <w:rFonts w:hint="default" w:ascii="仿宋" w:hAnsi="仿宋" w:eastAsia="仿宋" w:cs="仿宋"/>
          <w:b/>
          <w:bCs/>
          <w:color w:val="FF0000"/>
          <w:sz w:val="28"/>
          <w:szCs w:val="28"/>
          <w:highlight w:val="none"/>
          <w:lang w:eastAsia="zh-CN"/>
          <w:woUserID w:val="1"/>
        </w:rPr>
        <w:t>氟</w:t>
      </w:r>
      <w:r>
        <w:rPr>
          <w:rFonts w:hint="eastAsia" w:ascii="仿宋" w:hAnsi="仿宋" w:eastAsia="仿宋" w:cs="仿宋"/>
          <w:b/>
          <w:bCs/>
          <w:color w:val="FF0000"/>
          <w:sz w:val="28"/>
          <w:szCs w:val="28"/>
          <w:highlight w:val="none"/>
          <w:lang w:val="en-US" w:eastAsia="zh-CN"/>
        </w:rPr>
        <w:t>制冷</w:t>
      </w:r>
      <w:r>
        <w:rPr>
          <w:rFonts w:hint="default" w:ascii="仿宋" w:hAnsi="仿宋" w:eastAsia="仿宋" w:cs="仿宋"/>
          <w:sz w:val="28"/>
          <w:szCs w:val="28"/>
          <w:highlight w:val="none"/>
          <w:lang w:eastAsia="zh-CN"/>
          <w:woUserID w:val="1"/>
        </w:rPr>
        <w:t>设备的销售及</w:t>
      </w:r>
      <w:r>
        <w:rPr>
          <w:rFonts w:hint="eastAsia" w:ascii="仿宋" w:hAnsi="仿宋" w:eastAsia="仿宋" w:cs="仿宋"/>
          <w:b/>
          <w:bCs/>
          <w:color w:val="FF0000"/>
          <w:sz w:val="28"/>
          <w:szCs w:val="28"/>
          <w:highlight w:val="none"/>
          <w:lang w:val="en-US" w:eastAsia="zh-CN"/>
        </w:rPr>
        <w:t>及备品备件供货</w:t>
      </w:r>
      <w:r>
        <w:rPr>
          <w:rFonts w:hint="eastAsia" w:ascii="仿宋" w:hAnsi="仿宋" w:eastAsia="仿宋" w:cs="仿宋"/>
          <w:sz w:val="28"/>
          <w:szCs w:val="28"/>
          <w:highlight w:val="none"/>
          <w:lang w:val="en-US" w:eastAsia="zh-CN"/>
        </w:rPr>
        <w:t>、安装、维修、保养能力</w:t>
      </w:r>
      <w:r>
        <w:rPr>
          <w:rFonts w:hint="eastAsia" w:ascii="仿宋" w:hAnsi="仿宋" w:eastAsia="仿宋" w:cs="仿宋"/>
          <w:sz w:val="28"/>
          <w:szCs w:val="28"/>
          <w:highlight w:val="none"/>
          <w:lang w:val="en-US" w:eastAsia="zh-CN"/>
        </w:rPr>
        <w:t>承诺书</w:t>
      </w:r>
      <w:r>
        <w:rPr>
          <w:rFonts w:hint="eastAsia" w:ascii="仿宋" w:hAnsi="仿宋" w:eastAsia="仿宋" w:cs="仿宋"/>
          <w:sz w:val="28"/>
          <w:szCs w:val="28"/>
          <w:highlight w:val="none"/>
          <w:lang w:eastAsia="zh-CN"/>
        </w:rPr>
        <w:t>；</w:t>
      </w:r>
    </w:p>
    <w:p w14:paraId="11C68D7F">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lang w:eastAsia="zh-CN"/>
        </w:rPr>
        <w:t>机电工程施工总承包乙级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lang w:eastAsia="zh-CN"/>
        </w:rPr>
        <w:t>机电工程施工总承包</w:t>
      </w:r>
      <w:r>
        <w:rPr>
          <w:rFonts w:hint="eastAsia" w:ascii="仿宋" w:hAnsi="仿宋" w:eastAsia="仿宋" w:cs="仿宋"/>
          <w:color w:val="FF0000"/>
          <w:sz w:val="28"/>
          <w:szCs w:val="28"/>
          <w:highlight w:val="none"/>
          <w:lang w:val="en-US" w:eastAsia="zh-CN"/>
        </w:rPr>
        <w:t>二</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7EF3BD92">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26AEA3A9">
      <w:pPr>
        <w:numPr>
          <w:ilvl w:val="0"/>
          <w:numId w:val="0"/>
        </w:numPr>
        <w:adjustRightInd w:val="0"/>
        <w:snapToGrid w:val="0"/>
        <w:spacing w:line="360" w:lineRule="auto"/>
        <w:ind w:firstLine="560" w:firstLineChars="200"/>
        <w:rPr>
          <w:rFonts w:hint="eastAsia" w:ascii="宋体" w:hAnsi="宋体" w:eastAsia="宋体" w:cs="宋体"/>
          <w:sz w:val="24"/>
          <w:szCs w:val="24"/>
          <w:highlight w:val="none"/>
          <w:lang w:val="en-US" w:eastAsia="zh-CN"/>
        </w:rPr>
      </w:pPr>
      <w:r>
        <w:rPr>
          <w:rFonts w:hint="eastAsia" w:ascii="仿宋" w:hAnsi="仿宋" w:eastAsia="仿宋" w:cs="仿宋"/>
          <w:sz w:val="28"/>
          <w:szCs w:val="28"/>
          <w:highlight w:val="none"/>
          <w:lang w:val="en-US" w:eastAsia="zh-CN"/>
        </w:rPr>
        <w:t>（6）提供项目经理二级及以上注册建造师执业资格证和有效的安全生产考核合格证书（须为项目负责人安全生产考核合格证，即“建安B”类证）</w:t>
      </w:r>
      <w:r>
        <w:rPr>
          <w:rFonts w:hint="eastAsia" w:ascii="仿宋" w:hAnsi="仿宋" w:eastAsia="仿宋" w:cs="仿宋"/>
          <w:sz w:val="28"/>
          <w:szCs w:val="28"/>
          <w:highlight w:val="none"/>
          <w:lang w:eastAsia="zh-CN"/>
        </w:rPr>
        <w:t>；</w:t>
      </w:r>
    </w:p>
    <w:p w14:paraId="3590312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（7）提供“中华人民共和国应急管理部（https://www.mem.gov.cn/）”近一年内无公开曝光的安全事件；</w:t>
      </w:r>
    </w:p>
    <w:p w14:paraId="134C477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r>
        <w:rPr>
          <w:rFonts w:hint="eastAsia" w:ascii="仿宋" w:hAnsi="仿宋" w:eastAsia="仿宋" w:cs="仿宋"/>
          <w:color w:val="FF0000"/>
          <w:sz w:val="28"/>
          <w:szCs w:val="28"/>
          <w:highlight w:val="none"/>
        </w:rPr>
        <w:t>提供有效的</w:t>
      </w:r>
      <w:r>
        <w:rPr>
          <w:rFonts w:hint="eastAsia" w:ascii="仿宋" w:hAnsi="仿宋" w:eastAsia="仿宋" w:cs="仿宋"/>
          <w:color w:val="FF0000"/>
          <w:sz w:val="28"/>
          <w:szCs w:val="28"/>
          <w:highlight w:val="none"/>
          <w:lang w:eastAsia="zh-CN"/>
        </w:rPr>
        <w:t>市场监督管理部门</w:t>
      </w:r>
      <w:r>
        <w:rPr>
          <w:rFonts w:hint="eastAsia" w:ascii="仿宋" w:hAnsi="仿宋" w:eastAsia="仿宋" w:cs="仿宋"/>
          <w:color w:val="FF0000"/>
          <w:sz w:val="28"/>
          <w:szCs w:val="28"/>
          <w:highlight w:val="none"/>
        </w:rPr>
        <w:t>颁发的《中华人民共和国特种设备生产许可证》</w:t>
      </w:r>
      <w:r>
        <w:rPr>
          <w:rFonts w:hint="eastAsia" w:ascii="仿宋" w:hAnsi="仿宋" w:eastAsia="仿宋" w:cs="仿宋"/>
          <w:color w:val="FF0000"/>
          <w:sz w:val="28"/>
          <w:szCs w:val="28"/>
          <w:highlight w:val="none"/>
          <w:lang w:val="en-US" w:eastAsia="zh-CN"/>
        </w:rPr>
        <w:t>工业管道安装（</w:t>
      </w:r>
      <w:r>
        <w:rPr>
          <w:rFonts w:hint="eastAsia" w:ascii="仿宋" w:hAnsi="仿宋" w:eastAsia="仿宋" w:cs="仿宋"/>
          <w:color w:val="FF0000"/>
          <w:sz w:val="28"/>
          <w:szCs w:val="28"/>
          <w:highlight w:val="none"/>
        </w:rPr>
        <w:t>GC2</w:t>
      </w:r>
      <w:r>
        <w:rPr>
          <w:rFonts w:hint="eastAsia" w:ascii="仿宋" w:hAnsi="仿宋" w:eastAsia="仿宋" w:cs="仿宋"/>
          <w:color w:val="FF0000"/>
          <w:sz w:val="28"/>
          <w:szCs w:val="28"/>
          <w:highlight w:val="none"/>
          <w:lang w:val="en-US" w:eastAsia="zh-CN"/>
        </w:rPr>
        <w:t>）</w:t>
      </w:r>
      <w:r>
        <w:rPr>
          <w:rFonts w:hint="eastAsia" w:ascii="仿宋" w:hAnsi="仿宋" w:eastAsia="仿宋" w:cs="仿宋"/>
          <w:color w:val="FF0000"/>
          <w:sz w:val="28"/>
          <w:szCs w:val="28"/>
          <w:highlight w:val="none"/>
        </w:rPr>
        <w:t>级及以上资质证书</w:t>
      </w:r>
      <w:r>
        <w:rPr>
          <w:rFonts w:hint="eastAsia" w:ascii="仿宋" w:hAnsi="仿宋" w:eastAsia="仿宋" w:cs="仿宋"/>
          <w:color w:val="FF0000"/>
          <w:sz w:val="28"/>
          <w:szCs w:val="28"/>
          <w:highlight w:val="none"/>
          <w:lang w:eastAsia="zh-CN"/>
        </w:rPr>
        <w:t>；</w:t>
      </w:r>
    </w:p>
    <w:p w14:paraId="1F1BB7C2">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9%和13%的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02B67D56">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58E50F1B">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6F11E44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（12）提供</w:t>
      </w:r>
      <w:r>
        <w:rPr>
          <w:rFonts w:hint="eastAsia" w:ascii="仿宋" w:hAnsi="仿宋" w:eastAsia="仿宋" w:cs="仿宋"/>
          <w:color w:val="000000"/>
          <w:sz w:val="28"/>
          <w:szCs w:val="28"/>
          <w:highlight w:val="none"/>
          <w:lang w:val="en-US" w:eastAsia="zh-CN"/>
        </w:rPr>
        <w:t>（2022年-2024年或2023年-2025年）</w:t>
      </w:r>
      <w:r>
        <w:rPr>
          <w:rFonts w:hint="eastAsia" w:ascii="仿宋" w:hAnsi="仿宋" w:eastAsia="仿宋" w:cs="仿宋"/>
          <w:sz w:val="28"/>
          <w:szCs w:val="28"/>
          <w:highlight w:val="none"/>
          <w:lang w:val="en-US" w:eastAsia="zh-CN"/>
        </w:rPr>
        <w:t>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lang w:eastAsia="zh-CN"/>
        </w:rPr>
        <w:t>；</w:t>
      </w:r>
    </w:p>
    <w:p w14:paraId="22A8ABEC">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50C69A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（附件2）</w:t>
      </w:r>
    </w:p>
    <w:p w14:paraId="238728D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5507431D">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（附件4和附件5）</w:t>
      </w:r>
    </w:p>
    <w:p w14:paraId="6E658E24">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（17）提供《蒙牛集团工程设备采购业务供应商管理8条红线确认书》；（附件6）</w:t>
      </w:r>
    </w:p>
    <w:p w14:paraId="3CD49FEA">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（18）提供诚信合作廉洁承诺书；（附件7）</w:t>
      </w:r>
    </w:p>
    <w:p w14:paraId="20651106">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235C28D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本项目采用全流程电子化招标采购方式，以上各类证书、证明材料应为原件的扫描件或复印件，均需</w:t>
      </w:r>
      <w:r>
        <w:rPr>
          <w:rFonts w:hint="eastAsia" w:ascii="仿宋" w:hAnsi="仿宋" w:eastAsia="仿宋" w:cs="仿宋"/>
          <w:b/>
          <w:bCs/>
          <w:color w:val="FF0000"/>
          <w:sz w:val="28"/>
          <w:szCs w:val="28"/>
          <w:highlight w:val="none"/>
        </w:rPr>
        <w:t>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29502F11">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34A79F2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9F324B3">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bookmarkStart w:id="4" w:name="_GoBack"/>
      <w:bookmarkEnd w:id="4"/>
    </w:p>
    <w:p w14:paraId="02D110D5">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p>
    <w:p w14:paraId="1762263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1F8E8F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lang w:val="en-US" w:eastAsia="zh-CN"/>
        </w:rPr>
        <w:t>每标段</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3B0C87A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03F3A8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51A3FA4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178B26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6471C0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74C62546">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1CF00D21">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03BFE6E">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6882520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6100E19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75CF68F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125AE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65295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3EF813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22C8EEA8">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1C88ABFE">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60D07B2">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76BC865D">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7ED1166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62F5220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5DC819C">
      <w:pPr>
        <w:pStyle w:val="5"/>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6FF4567B">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40588C5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566F6621">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78C69E4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255C8229">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0673E11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144F089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 潘宏                       </w:t>
      </w:r>
    </w:p>
    <w:p w14:paraId="513ED3B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联系方式：0471-7393642/18686095595</w:t>
      </w:r>
    </w:p>
    <w:p w14:paraId="34E687D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电子邮件：panhong@mengniu.cn</w:t>
      </w:r>
    </w:p>
    <w:p w14:paraId="108DD286">
      <w:pPr>
        <w:pStyle w:val="12"/>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732C61A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35172BB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人：陈大禹</w:t>
      </w:r>
    </w:p>
    <w:p w14:paraId="707424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6B7F79D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电子邮箱：mnjw@mengniu.cn</w:t>
      </w:r>
    </w:p>
    <w:p w14:paraId="3C801B4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4C90AA58">
      <w:pPr>
        <w:adjustRightInd w:val="0"/>
        <w:snapToGrid w:val="0"/>
        <w:spacing w:line="360" w:lineRule="auto"/>
        <w:ind w:firstLine="560" w:firstLineChars="200"/>
        <w:rPr>
          <w:rFonts w:hint="eastAsia" w:ascii="仿宋" w:hAnsi="仿宋" w:eastAsia="仿宋" w:cs="仿宋"/>
          <w:sz w:val="28"/>
          <w:szCs w:val="28"/>
          <w:highlight w:val="none"/>
        </w:rPr>
      </w:pPr>
    </w:p>
    <w:p w14:paraId="4FD5FB1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74A639DC">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3A597393">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4D1D48E3">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5100E38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36E20E91">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17FEAC1C">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15A75E62">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4B249F8A">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743176A">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6DF472F4">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日</w:t>
      </w:r>
    </w:p>
    <w:p w14:paraId="17BF104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77D944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733A480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861C4F0">
      <w:pPr>
        <w:spacing w:line="240" w:lineRule="auto"/>
        <w:jc w:val="center"/>
        <w:rPr>
          <w:rFonts w:hint="eastAsia" w:ascii="仿宋" w:hAnsi="仿宋" w:eastAsia="仿宋" w:cs="仿宋"/>
          <w:b/>
          <w:sz w:val="28"/>
          <w:szCs w:val="28"/>
          <w:highlight w:val="none"/>
        </w:rPr>
      </w:pPr>
    </w:p>
    <w:p w14:paraId="2F98B10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60096E26">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47AAAE4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16579B86">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343224EF">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6FD425F1">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93DB6C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5EEFCD6F">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440C13BA">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11E074E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1349FA2">
      <w:pPr>
        <w:spacing w:line="240" w:lineRule="auto"/>
        <w:rPr>
          <w:rFonts w:hint="eastAsia" w:ascii="仿宋" w:hAnsi="仿宋" w:eastAsia="仿宋" w:cs="仿宋"/>
          <w:b/>
          <w:kern w:val="0"/>
          <w:sz w:val="28"/>
          <w:szCs w:val="28"/>
          <w:highlight w:val="none"/>
        </w:rPr>
      </w:pPr>
    </w:p>
    <w:tbl>
      <w:tblPr>
        <w:tblStyle w:val="13"/>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75C3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62D437C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17ECF72D">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178C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2AD676E7">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5A2FC4BB">
            <w:pPr>
              <w:spacing w:line="240" w:lineRule="auto"/>
              <w:jc w:val="center"/>
              <w:rPr>
                <w:rFonts w:hint="eastAsia" w:ascii="仿宋" w:hAnsi="仿宋" w:eastAsia="仿宋" w:cs="仿宋"/>
                <w:b/>
                <w:kern w:val="0"/>
                <w:sz w:val="28"/>
                <w:szCs w:val="28"/>
                <w:highlight w:val="none"/>
              </w:rPr>
            </w:pPr>
          </w:p>
        </w:tc>
      </w:tr>
    </w:tbl>
    <w:p w14:paraId="7EFFED36">
      <w:pPr>
        <w:spacing w:line="240" w:lineRule="auto"/>
        <w:jc w:val="center"/>
        <w:rPr>
          <w:rFonts w:hint="eastAsia" w:ascii="仿宋" w:hAnsi="仿宋" w:eastAsia="仿宋" w:cs="仿宋"/>
          <w:b/>
          <w:kern w:val="0"/>
          <w:sz w:val="28"/>
          <w:szCs w:val="28"/>
          <w:highlight w:val="none"/>
        </w:rPr>
      </w:pPr>
    </w:p>
    <w:p w14:paraId="67F0C0BA">
      <w:pPr>
        <w:spacing w:line="240" w:lineRule="auto"/>
        <w:jc w:val="center"/>
        <w:rPr>
          <w:rFonts w:hint="eastAsia" w:ascii="仿宋" w:hAnsi="仿宋" w:eastAsia="仿宋" w:cs="仿宋"/>
          <w:b/>
          <w:kern w:val="0"/>
          <w:sz w:val="28"/>
          <w:szCs w:val="28"/>
          <w:highlight w:val="none"/>
        </w:rPr>
      </w:pPr>
    </w:p>
    <w:p w14:paraId="240170ED">
      <w:pPr>
        <w:spacing w:line="240" w:lineRule="auto"/>
        <w:jc w:val="center"/>
        <w:rPr>
          <w:rFonts w:hint="eastAsia" w:ascii="仿宋" w:hAnsi="仿宋" w:eastAsia="仿宋" w:cs="仿宋"/>
          <w:b/>
          <w:kern w:val="0"/>
          <w:sz w:val="28"/>
          <w:szCs w:val="28"/>
          <w:highlight w:val="none"/>
        </w:rPr>
      </w:pPr>
    </w:p>
    <w:p w14:paraId="66C2F50F">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558110EE">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3B692264">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4CF4810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C83A72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46C6EEE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5783618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685802A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200A1A0F">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1ED0A093">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404869DF">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5B20DDD3">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3"/>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15E79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187D33A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2EFE2BD9">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18C1A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099E6CE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F939C7F">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1E03B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4541" w:type="dxa"/>
            <w:vAlign w:val="center"/>
          </w:tcPr>
          <w:p w14:paraId="6162EA13">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5CD64FA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483BE949">
      <w:pPr>
        <w:spacing w:line="240" w:lineRule="auto"/>
        <w:jc w:val="both"/>
        <w:rPr>
          <w:rFonts w:hint="eastAsia" w:ascii="仿宋" w:hAnsi="仿宋" w:eastAsia="仿宋" w:cs="仿宋"/>
          <w:b/>
          <w:sz w:val="28"/>
          <w:szCs w:val="28"/>
          <w:highlight w:val="none"/>
        </w:rPr>
      </w:pPr>
    </w:p>
    <w:p w14:paraId="53AAB318">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5F078CE4">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03480389">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61AC8D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68947D16">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ADF6201">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7C6A335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7038554E">
      <w:pPr>
        <w:spacing w:line="240" w:lineRule="auto"/>
        <w:rPr>
          <w:rFonts w:hint="eastAsia" w:ascii="仿宋" w:hAnsi="仿宋" w:eastAsia="仿宋" w:cs="仿宋"/>
          <w:sz w:val="28"/>
          <w:szCs w:val="28"/>
          <w:highlight w:val="none"/>
        </w:rPr>
      </w:pPr>
    </w:p>
    <w:p w14:paraId="095D7F3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A9F87B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534B70F2">
      <w:pPr>
        <w:spacing w:line="240" w:lineRule="auto"/>
        <w:rPr>
          <w:rFonts w:hint="eastAsia" w:ascii="仿宋" w:hAnsi="仿宋" w:eastAsia="仿宋" w:cs="仿宋"/>
          <w:sz w:val="28"/>
          <w:szCs w:val="28"/>
          <w:highlight w:val="none"/>
        </w:rPr>
      </w:pPr>
    </w:p>
    <w:p w14:paraId="6096ECD9">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44D0F46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2FE279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295799A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566BAA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1CF8D23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6694714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75098E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338C418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149D73E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4B57A2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0E43F01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B9298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24E5E4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9FD579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0C9FD47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FDE4C8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4B224B7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C05A08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5776708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39C4EE0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4FE3FB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47D0CDE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7E87D97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3182639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6B04EBC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3260875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DE0B6C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269CE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0CA026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73E3535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58522FA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3B0B05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56BBAB6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31060C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E499D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280E73D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6C87B4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111E82C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7A53D3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054696B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3C117B6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4AB0E6DB">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E59E177">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7F26BA5C">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218544D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5E9D4B0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9DC33D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4171352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31A42C2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50D963B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44721A5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36FA65D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1CDDC1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33DE1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0314B6B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6144B0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1A07BF44">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7EC5B499">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7F5322E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06C94CE1">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E3EEF0">
      <w:pPr>
        <w:spacing w:line="240" w:lineRule="auto"/>
        <w:jc w:val="left"/>
        <w:rPr>
          <w:rFonts w:hint="eastAsia" w:ascii="仿宋" w:hAnsi="仿宋" w:eastAsia="仿宋" w:cs="仿宋"/>
          <w:sz w:val="28"/>
          <w:szCs w:val="28"/>
          <w:highlight w:val="none"/>
        </w:rPr>
      </w:pPr>
    </w:p>
    <w:p w14:paraId="249985E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049C76FA">
      <w:pPr>
        <w:spacing w:line="240" w:lineRule="auto"/>
        <w:jc w:val="left"/>
        <w:rPr>
          <w:rFonts w:hint="eastAsia" w:ascii="仿宋" w:hAnsi="仿宋" w:eastAsia="仿宋" w:cs="仿宋"/>
          <w:sz w:val="28"/>
          <w:szCs w:val="28"/>
          <w:highlight w:val="none"/>
        </w:rPr>
      </w:pPr>
    </w:p>
    <w:p w14:paraId="611F92A5">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7F06ABF0">
      <w:pPr>
        <w:spacing w:line="240" w:lineRule="auto"/>
        <w:jc w:val="left"/>
        <w:rPr>
          <w:rFonts w:hint="eastAsia" w:ascii="仿宋" w:hAnsi="仿宋" w:eastAsia="仿宋" w:cs="仿宋"/>
          <w:sz w:val="28"/>
          <w:szCs w:val="28"/>
          <w:highlight w:val="none"/>
        </w:rPr>
      </w:pPr>
    </w:p>
    <w:p w14:paraId="268A02A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27AD00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00B11CA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198A61E">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999C64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C6D0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C64BB64">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24A77EA8">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48F0B47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29E79137">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8B69E28">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7DC166AA">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82866F5">
      <w:pPr>
        <w:spacing w:line="240" w:lineRule="auto"/>
        <w:jc w:val="left"/>
        <w:rPr>
          <w:rFonts w:hint="eastAsia" w:ascii="仿宋" w:hAnsi="仿宋" w:eastAsia="仿宋" w:cs="仿宋"/>
          <w:sz w:val="28"/>
          <w:szCs w:val="28"/>
          <w:highlight w:val="none"/>
        </w:rPr>
      </w:pPr>
    </w:p>
    <w:p w14:paraId="425C2D6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35B07A5E">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6DA2C8B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5A7E6C4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6E3B185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665DA209">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376FD71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4DD1206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729E6C9">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365A79D2">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03C74E8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5920FBB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21D0AB4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200209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0E0A917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CF0312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4329A96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53DB26D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393D5E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5C0F057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0B0F843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AE77B7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1C1F6EC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B7B14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29AE29C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6"/>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3D3D0AA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3B5246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1FA4C08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79D7175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3805832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D3E4E2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209758D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4CDD93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6DE8FBA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6130C8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0B9AC51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2A02564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7EDAB29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6436997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05E713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18C80C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1BABB0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719C15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331E6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5D1EF2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0CEE083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EF608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F00111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30113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19B3B9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7CBDE28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190E22F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43A46D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064C8E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428E9E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2633BD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0F9BEBA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0869A79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57652A2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382771A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3419ED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2AA7B6A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51BD6F9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1FDDDE5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7612AF2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55400A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344E973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831E3FE">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6EC68CCD">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356A4E3F">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66DD964">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632FF088">
      <w:pPr>
        <w:spacing w:line="240" w:lineRule="auto"/>
        <w:jc w:val="left"/>
        <w:rPr>
          <w:rFonts w:hint="eastAsia" w:ascii="仿宋" w:hAnsi="仿宋" w:eastAsia="仿宋" w:cs="仿宋"/>
          <w:sz w:val="28"/>
          <w:szCs w:val="28"/>
          <w:highlight w:val="none"/>
        </w:rPr>
      </w:pPr>
    </w:p>
    <w:p w14:paraId="7B335B92">
      <w:pPr>
        <w:spacing w:line="240" w:lineRule="auto"/>
        <w:jc w:val="left"/>
        <w:rPr>
          <w:rFonts w:hint="eastAsia" w:ascii="仿宋" w:hAnsi="仿宋" w:eastAsia="仿宋" w:cs="仿宋"/>
          <w:sz w:val="28"/>
          <w:szCs w:val="28"/>
          <w:highlight w:val="none"/>
        </w:rPr>
      </w:pPr>
    </w:p>
    <w:p w14:paraId="33030D0F">
      <w:pPr>
        <w:spacing w:line="240" w:lineRule="auto"/>
        <w:jc w:val="left"/>
        <w:rPr>
          <w:rFonts w:hint="eastAsia" w:ascii="仿宋" w:hAnsi="仿宋" w:eastAsia="仿宋" w:cs="仿宋"/>
          <w:sz w:val="28"/>
          <w:szCs w:val="28"/>
          <w:highlight w:val="none"/>
        </w:rPr>
      </w:pPr>
    </w:p>
    <w:p w14:paraId="0F516857">
      <w:pPr>
        <w:spacing w:line="240" w:lineRule="auto"/>
        <w:jc w:val="left"/>
        <w:rPr>
          <w:rFonts w:hint="eastAsia" w:ascii="仿宋" w:hAnsi="仿宋" w:eastAsia="仿宋" w:cs="仿宋"/>
          <w:sz w:val="28"/>
          <w:szCs w:val="28"/>
          <w:highlight w:val="none"/>
        </w:rPr>
      </w:pPr>
    </w:p>
    <w:p w14:paraId="699766B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51764C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1DB5BBCA">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蒙牛集团工程设备采购业务供应商管理8条红线</w:t>
      </w:r>
    </w:p>
    <w:p w14:paraId="17C4A5BE">
      <w:pPr>
        <w:spacing w:line="360" w:lineRule="auto"/>
        <w:ind w:firstLine="480" w:firstLineChars="200"/>
        <w:rPr>
          <w:rFonts w:hint="eastAsia" w:ascii="宋体" w:hAnsi="宋体" w:eastAsia="宋体" w:cs="宋体"/>
          <w:sz w:val="24"/>
          <w:szCs w:val="24"/>
          <w:highlight w:val="none"/>
          <w:lang w:val="en-US" w:eastAsia="zh-CN"/>
        </w:rPr>
      </w:pPr>
    </w:p>
    <w:p w14:paraId="08C1CA3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1.资质、业绩造假</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供应商在准入、招投标或合作过程中，提供虚假的资质或过往业绩造假。</w:t>
      </w:r>
    </w:p>
    <w:p w14:paraId="23FDDED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2.取缔合作后换码经营</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被取缔合作资格并纳入“供应商黑名单”后，通过变更信息，或借用其他公司资质、挂靠其他企业等不正当手段，隐瞒与原被取缔主体的关联关系，重新参与招标采购。</w:t>
      </w:r>
    </w:p>
    <w:p w14:paraId="53F16C1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3.未执行招标采购认价，提前启动项目实施</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未完成采购招标认价流程，未明确最终合作价格提前启动项目实施。</w:t>
      </w:r>
    </w:p>
    <w:p w14:paraId="2FA9558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4.低价中标不供货 / 不施工</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5DB62AA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5.质量不达标且拒不整改</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提供的产品不符合合同约定标准、国家强制性标准或服务未达到约定效果，拒不配合整改。</w:t>
      </w:r>
    </w:p>
    <w:p w14:paraId="05012BE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6.交付逾期且无合理理由</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未按合同约定时间交付产品 / 服务，且无不可抗力等合理理由，或逾期后未及时采取补救措施。</w:t>
      </w:r>
    </w:p>
    <w:p w14:paraId="0C5AE3F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7.商业信息泄露</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违反保密协议，向第三方泄露企业的商业秘密（如采购底价、技术参数、项目规划），或利用保密信息为自身</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他人谋利。​</w:t>
      </w:r>
    </w:p>
    <w:p w14:paraId="135BDBB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8.虚假承诺与欺诈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合作前或合作中作出虚假承诺，实际无法兑现；或通过虚构成本、伪造单据骗取企业货款。</w:t>
      </w:r>
    </w:p>
    <w:p w14:paraId="326B5C91">
      <w:pPr>
        <w:spacing w:line="360" w:lineRule="auto"/>
        <w:ind w:firstLine="480" w:firstLineChars="200"/>
        <w:rPr>
          <w:rFonts w:hint="eastAsia" w:ascii="宋体" w:hAnsi="宋体" w:eastAsia="宋体" w:cs="宋体"/>
          <w:sz w:val="24"/>
          <w:szCs w:val="24"/>
          <w:highlight w:val="none"/>
          <w:lang w:eastAsia="zh-CN"/>
          <w:woUserID w:val="1"/>
        </w:rPr>
      </w:pPr>
      <w:r>
        <w:rPr>
          <w:rFonts w:hint="eastAsia" w:ascii="宋体" w:hAnsi="宋体" w:eastAsia="宋体" w:cs="宋体"/>
          <w:sz w:val="24"/>
          <w:szCs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AF69CAC">
      <w:pPr>
        <w:spacing w:line="360" w:lineRule="auto"/>
        <w:ind w:firstLine="4080" w:firstLineChars="1700"/>
        <w:rPr>
          <w:rFonts w:hint="eastAsia" w:ascii="宋体" w:hAnsi="宋体" w:eastAsia="宋体" w:cs="宋体"/>
          <w:sz w:val="24"/>
          <w:szCs w:val="24"/>
          <w:highlight w:val="none"/>
          <w:lang w:eastAsia="zh-CN"/>
          <w:woUserID w:val="1"/>
        </w:rPr>
      </w:pPr>
      <w:r>
        <w:rPr>
          <w:rFonts w:hint="eastAsia" w:ascii="宋体" w:hAnsi="宋体" w:eastAsia="宋体" w:cs="宋体"/>
          <w:sz w:val="24"/>
          <w:szCs w:val="24"/>
          <w:highlight w:val="none"/>
          <w:lang w:eastAsia="zh-CN"/>
          <w:woUserID w:val="1"/>
        </w:rPr>
        <w:t>投标单位（盖章）</w:t>
      </w:r>
      <w:r>
        <w:rPr>
          <w:rFonts w:hint="eastAsia" w:ascii="宋体" w:hAnsi="宋体" w:cs="宋体"/>
          <w:sz w:val="24"/>
          <w:szCs w:val="24"/>
          <w:highlight w:val="none"/>
          <w:lang w:eastAsia="zh-CN"/>
          <w:woUserID w:val="1"/>
        </w:rPr>
        <w:t>：</w:t>
      </w:r>
      <w:r>
        <w:rPr>
          <w:rFonts w:hint="eastAsia" w:ascii="宋体" w:hAnsi="宋体" w:eastAsia="宋体" w:cs="宋体"/>
          <w:sz w:val="24"/>
          <w:szCs w:val="24"/>
          <w:highlight w:val="none"/>
          <w:lang w:eastAsia="zh-CN"/>
          <w:woUserID w:val="1"/>
        </w:rPr>
        <w:t xml:space="preserve">      </w:t>
      </w:r>
    </w:p>
    <w:p w14:paraId="0E68CB01">
      <w:pPr>
        <w:spacing w:line="360" w:lineRule="auto"/>
        <w:ind w:firstLine="1440" w:firstLineChars="6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法定代表人或被授权委托人（签字或盖章）：      </w:t>
      </w:r>
    </w:p>
    <w:p w14:paraId="5E3F172C">
      <w:pPr>
        <w:spacing w:line="360" w:lineRule="auto"/>
        <w:ind w:firstLine="480" w:firstLineChars="200"/>
        <w:jc w:val="righ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日期：      年      月      日</w:t>
      </w:r>
    </w:p>
    <w:p w14:paraId="10AD13BD">
      <w:pPr>
        <w:numPr>
          <w:ilvl w:val="0"/>
          <w:numId w:val="0"/>
        </w:numPr>
        <w:spacing w:line="360" w:lineRule="auto"/>
        <w:jc w:val="both"/>
        <w:rPr>
          <w:rFonts w:hint="eastAsia" w:ascii="宋体" w:hAnsi="宋体" w:eastAsia="宋体" w:cs="宋体"/>
          <w:b/>
          <w:kern w:val="2"/>
          <w:sz w:val="36"/>
          <w:szCs w:val="36"/>
          <w:highlight w:val="none"/>
          <w:lang w:val="en-US" w:eastAsia="zh-CN" w:bidi="ar-SA"/>
        </w:rPr>
      </w:pPr>
    </w:p>
    <w:p w14:paraId="1102BEEF">
      <w:pPr>
        <w:spacing w:line="240" w:lineRule="auto"/>
        <w:rPr>
          <w:rFonts w:hint="eastAsia" w:ascii="仿宋" w:hAnsi="仿宋" w:eastAsia="仿宋" w:cs="仿宋"/>
          <w:sz w:val="28"/>
          <w:szCs w:val="28"/>
          <w:highlight w:val="none"/>
          <w:lang w:val="en-US" w:eastAsia="zh-CN"/>
        </w:rPr>
      </w:pPr>
      <w:bookmarkStart w:id="3" w:name="_Toc12390"/>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p>
    <w:p w14:paraId="3DC6BA70">
      <w:pPr>
        <w:pStyle w:val="5"/>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0"/>
        <w:rPr>
          <w:b/>
          <w:bCs/>
          <w:color w:val="181C1F"/>
          <w:spacing w:val="-4"/>
          <w:sz w:val="28"/>
          <w:szCs w:val="28"/>
          <w:highlight w:val="none"/>
        </w:rPr>
      </w:pPr>
    </w:p>
    <w:p w14:paraId="51F44596">
      <w:pPr>
        <w:pStyle w:val="5"/>
        <w:keepNext w:val="0"/>
        <w:keepLines w:val="0"/>
        <w:pageBreakBefore w:val="0"/>
        <w:widowControl w:val="0"/>
        <w:kinsoku/>
        <w:wordWrap/>
        <w:overflowPunct/>
        <w:topLinePunct w:val="0"/>
        <w:autoSpaceDE/>
        <w:autoSpaceDN/>
        <w:bidi w:val="0"/>
        <w:adjustRightInd/>
        <w:snapToGrid/>
        <w:spacing w:after="0" w:line="360" w:lineRule="auto"/>
        <w:ind w:left="0"/>
        <w:jc w:val="center"/>
        <w:textAlignment w:val="auto"/>
        <w:outlineLvl w:val="0"/>
        <w:rPr>
          <w:rFonts w:ascii="Arial"/>
          <w:sz w:val="21"/>
          <w:highlight w:val="none"/>
        </w:rPr>
      </w:pPr>
      <w:r>
        <w:rPr>
          <w:b/>
          <w:bCs/>
          <w:color w:val="181C1F"/>
          <w:spacing w:val="-4"/>
          <w:sz w:val="28"/>
          <w:szCs w:val="28"/>
          <w:highlight w:val="none"/>
        </w:rPr>
        <w:t>诚信合作廉洁承诺书</w:t>
      </w:r>
      <w:bookmarkEnd w:id="3"/>
    </w:p>
    <w:p w14:paraId="555E9990">
      <w:pPr>
        <w:pStyle w:val="5"/>
        <w:spacing w:before="65" w:line="369" w:lineRule="auto"/>
        <w:ind w:right="57" w:firstLine="508" w:firstLineChars="200"/>
        <w:jc w:val="both"/>
        <w:rPr>
          <w:rFonts w:hint="eastAsia" w:ascii="宋体" w:hAnsi="宋体" w:eastAsia="宋体" w:cs="宋体"/>
          <w:sz w:val="24"/>
          <w:szCs w:val="24"/>
          <w:highlight w:val="none"/>
        </w:rPr>
      </w:pPr>
      <w:r>
        <w:rPr>
          <w:rFonts w:hint="eastAsia" w:ascii="宋体" w:hAnsi="宋体" w:eastAsia="宋体" w:cs="宋体"/>
          <w:color w:val="181C1F"/>
          <w:spacing w:val="7"/>
          <w:sz w:val="24"/>
          <w:szCs w:val="24"/>
          <w:highlight w:val="none"/>
        </w:rPr>
        <w:t>商道酬诚，廉方致远。诚信和廉洁是所有合作与</w:t>
      </w:r>
      <w:r>
        <w:rPr>
          <w:rFonts w:hint="eastAsia" w:ascii="宋体" w:hAnsi="宋体" w:eastAsia="宋体" w:cs="宋体"/>
          <w:color w:val="181C1F"/>
          <w:spacing w:val="6"/>
          <w:sz w:val="24"/>
          <w:szCs w:val="24"/>
          <w:highlight w:val="none"/>
        </w:rPr>
        <w:t>共赢的基础，更是企业高质量发展的</w:t>
      </w:r>
      <w:r>
        <w:rPr>
          <w:rFonts w:hint="eastAsia" w:ascii="宋体" w:hAnsi="宋体" w:eastAsia="宋体" w:cs="宋体"/>
          <w:color w:val="181C1F"/>
          <w:sz w:val="24"/>
          <w:szCs w:val="24"/>
          <w:highlight w:val="none"/>
        </w:rPr>
        <w:t xml:space="preserve"> </w:t>
      </w:r>
      <w:r>
        <w:rPr>
          <w:rFonts w:hint="eastAsia" w:ascii="宋体" w:hAnsi="宋体" w:eastAsia="宋体" w:cs="宋体"/>
          <w:color w:val="181C1F"/>
          <w:spacing w:val="7"/>
          <w:sz w:val="24"/>
          <w:szCs w:val="24"/>
          <w:highlight w:val="none"/>
        </w:rPr>
        <w:t>保障。一直以来，合作伙伴与蒙牛风雨同舟，一路同行，靠的就是双方的诚信。为持续约束</w:t>
      </w:r>
      <w:r>
        <w:rPr>
          <w:rFonts w:hint="eastAsia" w:ascii="宋体" w:hAnsi="宋体" w:eastAsia="宋体" w:cs="宋体"/>
          <w:color w:val="181C1F"/>
          <w:spacing w:val="9"/>
          <w:sz w:val="24"/>
          <w:szCs w:val="24"/>
          <w:highlight w:val="none"/>
        </w:rPr>
        <w:t xml:space="preserve"> </w:t>
      </w:r>
      <w:r>
        <w:rPr>
          <w:rFonts w:hint="eastAsia" w:ascii="宋体" w:hAnsi="宋体" w:eastAsia="宋体" w:cs="宋体"/>
          <w:color w:val="181C1F"/>
          <w:spacing w:val="7"/>
          <w:sz w:val="24"/>
          <w:szCs w:val="24"/>
          <w:highlight w:val="none"/>
        </w:rPr>
        <w:t>双方诚信廉洁行为，坚守诚信廉洁底线，保障双方正当权益，维护蒙牛市场秩序，明确双方</w:t>
      </w:r>
      <w:r>
        <w:rPr>
          <w:rFonts w:hint="eastAsia" w:ascii="宋体" w:hAnsi="宋体" w:eastAsia="宋体" w:cs="宋体"/>
          <w:color w:val="181C1F"/>
          <w:spacing w:val="9"/>
          <w:sz w:val="24"/>
          <w:szCs w:val="24"/>
          <w:highlight w:val="none"/>
        </w:rPr>
        <w:t xml:space="preserve"> </w:t>
      </w:r>
      <w:r>
        <w:rPr>
          <w:rFonts w:hint="eastAsia" w:ascii="宋体" w:hAnsi="宋体" w:eastAsia="宋体" w:cs="宋体"/>
          <w:color w:val="181C1F"/>
          <w:spacing w:val="8"/>
          <w:sz w:val="24"/>
          <w:szCs w:val="24"/>
          <w:highlight w:val="none"/>
        </w:rPr>
        <w:t>诚信廉洁责任及监督义务，特做出如下合作承诺。</w:t>
      </w:r>
    </w:p>
    <w:p w14:paraId="23F9CAF0">
      <w:pPr>
        <w:pStyle w:val="5"/>
        <w:spacing w:before="2" w:line="369" w:lineRule="auto"/>
        <w:ind w:firstLine="514" w:firstLineChars="200"/>
        <w:jc w:val="both"/>
        <w:rPr>
          <w:rFonts w:hint="eastAsia" w:ascii="宋体" w:hAnsi="宋体" w:eastAsia="宋体" w:cs="宋体"/>
          <w:sz w:val="24"/>
          <w:szCs w:val="24"/>
          <w:highlight w:val="none"/>
        </w:rPr>
      </w:pPr>
      <w:r>
        <w:rPr>
          <w:rFonts w:hint="eastAsia" w:ascii="宋体" w:hAnsi="宋体" w:eastAsia="宋体" w:cs="宋体"/>
          <w:b/>
          <w:bCs/>
          <w:color w:val="181C1F"/>
          <w:spacing w:val="8"/>
          <w:sz w:val="24"/>
          <w:szCs w:val="24"/>
          <w:highlight w:val="none"/>
        </w:rPr>
        <w:t>蒙牛公司承诺：</w:t>
      </w:r>
      <w:r>
        <w:rPr>
          <w:rFonts w:hint="eastAsia" w:ascii="宋体" w:hAnsi="宋体" w:eastAsia="宋体" w:cs="宋体"/>
          <w:color w:val="181C1F"/>
          <w:spacing w:val="8"/>
          <w:sz w:val="24"/>
          <w:szCs w:val="24"/>
          <w:highlight w:val="none"/>
        </w:rPr>
        <w:t>蒙牛所有员工在与合作伙伴合作过程中，必须对合</w:t>
      </w:r>
      <w:r>
        <w:rPr>
          <w:rFonts w:hint="eastAsia" w:ascii="宋体" w:hAnsi="宋体" w:eastAsia="宋体" w:cs="宋体"/>
          <w:color w:val="181C1F"/>
          <w:spacing w:val="7"/>
          <w:sz w:val="24"/>
          <w:szCs w:val="24"/>
          <w:highlight w:val="none"/>
        </w:rPr>
        <w:t>作伙伴全力支持，</w:t>
      </w:r>
      <w:r>
        <w:rPr>
          <w:rFonts w:hint="eastAsia" w:ascii="宋体" w:hAnsi="宋体" w:eastAsia="宋体" w:cs="宋体"/>
          <w:color w:val="181C1F"/>
          <w:sz w:val="24"/>
          <w:szCs w:val="24"/>
          <w:highlight w:val="none"/>
        </w:rPr>
        <w:t xml:space="preserve"> </w:t>
      </w:r>
      <w:r>
        <w:rPr>
          <w:rFonts w:hint="eastAsia" w:ascii="宋体" w:hAnsi="宋体" w:eastAsia="宋体" w:cs="宋体"/>
          <w:color w:val="181C1F"/>
          <w:spacing w:val="7"/>
          <w:sz w:val="24"/>
          <w:szCs w:val="24"/>
          <w:highlight w:val="none"/>
        </w:rPr>
        <w:t>服务至上，清正廉洁！严禁索取或收受合作伙伴任何形式的礼品、礼金；严禁接受宴请及其</w:t>
      </w:r>
      <w:r>
        <w:rPr>
          <w:rFonts w:hint="eastAsia" w:ascii="宋体" w:hAnsi="宋体" w:eastAsia="宋体" w:cs="宋体"/>
          <w:color w:val="181C1F"/>
          <w:spacing w:val="9"/>
          <w:sz w:val="24"/>
          <w:szCs w:val="24"/>
          <w:highlight w:val="none"/>
        </w:rPr>
        <w:t xml:space="preserve"> </w:t>
      </w:r>
      <w:r>
        <w:rPr>
          <w:rFonts w:hint="eastAsia" w:ascii="宋体" w:hAnsi="宋体" w:eastAsia="宋体" w:cs="宋体"/>
          <w:color w:val="181C1F"/>
          <w:spacing w:val="7"/>
          <w:sz w:val="24"/>
          <w:szCs w:val="24"/>
          <w:highlight w:val="none"/>
        </w:rPr>
        <w:t>他不当利益；严禁和合作伙伴有任何形式的资金往来；严禁利用职务之便谋取私利或从事任</w:t>
      </w:r>
      <w:r>
        <w:rPr>
          <w:rFonts w:hint="eastAsia" w:ascii="宋体" w:hAnsi="宋体" w:eastAsia="宋体" w:cs="宋体"/>
          <w:color w:val="181C1F"/>
          <w:spacing w:val="9"/>
          <w:sz w:val="24"/>
          <w:szCs w:val="24"/>
          <w:highlight w:val="none"/>
        </w:rPr>
        <w:t xml:space="preserve"> </w:t>
      </w:r>
      <w:r>
        <w:rPr>
          <w:rFonts w:hint="eastAsia" w:ascii="宋体" w:hAnsi="宋体" w:eastAsia="宋体" w:cs="宋体"/>
          <w:color w:val="181C1F"/>
          <w:spacing w:val="7"/>
          <w:sz w:val="24"/>
          <w:szCs w:val="24"/>
          <w:highlight w:val="none"/>
        </w:rPr>
        <w:t>何损害公司和合作伙伴利益的行为。一经发现违反以上承诺，将对相关责任人依法依规严肃</w:t>
      </w:r>
      <w:r>
        <w:rPr>
          <w:rFonts w:hint="eastAsia" w:ascii="宋体" w:hAnsi="宋体" w:eastAsia="宋体" w:cs="宋体"/>
          <w:color w:val="181C1F"/>
          <w:spacing w:val="9"/>
          <w:sz w:val="24"/>
          <w:szCs w:val="24"/>
          <w:highlight w:val="none"/>
        </w:rPr>
        <w:t xml:space="preserve"> </w:t>
      </w:r>
      <w:r>
        <w:rPr>
          <w:rFonts w:hint="eastAsia" w:ascii="宋体" w:hAnsi="宋体" w:eastAsia="宋体" w:cs="宋体"/>
          <w:color w:val="181C1F"/>
          <w:spacing w:val="1"/>
          <w:sz w:val="24"/>
          <w:szCs w:val="24"/>
          <w:highlight w:val="none"/>
        </w:rPr>
        <w:t>处理。</w:t>
      </w:r>
    </w:p>
    <w:p w14:paraId="6A5A2094">
      <w:pPr>
        <w:pStyle w:val="5"/>
        <w:spacing w:before="3" w:line="368" w:lineRule="auto"/>
        <w:ind w:left="27" w:right="57" w:firstLine="532"/>
        <w:jc w:val="both"/>
        <w:rPr>
          <w:rFonts w:hint="eastAsia" w:ascii="宋体" w:hAnsi="宋体" w:eastAsia="宋体" w:cs="宋体"/>
          <w:sz w:val="24"/>
          <w:szCs w:val="24"/>
          <w:highlight w:val="none"/>
        </w:rPr>
      </w:pPr>
      <w:r>
        <w:rPr>
          <w:rFonts w:hint="eastAsia" w:ascii="宋体" w:hAnsi="宋体" w:eastAsia="宋体" w:cs="宋体"/>
          <w:b/>
          <w:bCs/>
          <w:color w:val="181C1F"/>
          <w:spacing w:val="9"/>
          <w:sz w:val="24"/>
          <w:szCs w:val="24"/>
          <w:highlight w:val="none"/>
        </w:rPr>
        <w:t>合作伙伴承诺：</w:t>
      </w:r>
      <w:r>
        <w:rPr>
          <w:rFonts w:hint="eastAsia" w:ascii="宋体" w:hAnsi="宋体" w:eastAsia="宋体" w:cs="宋体"/>
          <w:color w:val="181C1F"/>
          <w:spacing w:val="9"/>
          <w:sz w:val="24"/>
          <w:szCs w:val="24"/>
          <w:highlight w:val="none"/>
        </w:rPr>
        <w:t>在双方合作过程中，遵守合同约定，不伙同相关人员套取费用，谋取</w:t>
      </w:r>
      <w:r>
        <w:rPr>
          <w:rFonts w:hint="eastAsia" w:ascii="宋体" w:hAnsi="宋体" w:eastAsia="宋体" w:cs="宋体"/>
          <w:color w:val="181C1F"/>
          <w:spacing w:val="10"/>
          <w:sz w:val="24"/>
          <w:szCs w:val="24"/>
          <w:highlight w:val="none"/>
        </w:rPr>
        <w:t xml:space="preserve"> </w:t>
      </w:r>
      <w:r>
        <w:rPr>
          <w:rFonts w:hint="eastAsia" w:ascii="宋体" w:hAnsi="宋体" w:eastAsia="宋体" w:cs="宋体"/>
          <w:color w:val="181C1F"/>
          <w:spacing w:val="2"/>
          <w:sz w:val="24"/>
          <w:szCs w:val="24"/>
          <w:highlight w:val="none"/>
        </w:rPr>
        <w:t>不正当利益。如遇蒙牛相关人员口头</w:t>
      </w:r>
      <w:r>
        <w:rPr>
          <w:rFonts w:hint="eastAsia" w:ascii="宋体" w:hAnsi="宋体" w:eastAsia="宋体" w:cs="宋体"/>
          <w:spacing w:val="2"/>
          <w:sz w:val="24"/>
          <w:szCs w:val="24"/>
          <w:highlight w:val="none"/>
        </w:rPr>
        <w:t>承诺，将不予承认或及时向有关领导反映，及时通过“常</w:t>
      </w:r>
      <w:r>
        <w:rPr>
          <w:rFonts w:hint="eastAsia" w:ascii="宋体" w:hAnsi="宋体" w:eastAsia="宋体" w:cs="宋体"/>
          <w:spacing w:val="8"/>
          <w:sz w:val="24"/>
          <w:szCs w:val="24"/>
          <w:highlight w:val="none"/>
        </w:rPr>
        <w:t xml:space="preserve"> </w:t>
      </w:r>
      <w:r>
        <w:rPr>
          <w:rFonts w:hint="eastAsia" w:ascii="宋体" w:hAnsi="宋体" w:eastAsia="宋体" w:cs="宋体"/>
          <w:spacing w:val="7"/>
          <w:sz w:val="24"/>
          <w:szCs w:val="24"/>
          <w:highlight w:val="none"/>
        </w:rPr>
        <w:t>温供应链管理中心信息卡</w:t>
      </w:r>
      <w:r>
        <w:rPr>
          <w:rFonts w:hint="eastAsia" w:ascii="宋体" w:hAnsi="宋体" w:eastAsia="宋体" w:cs="宋体"/>
          <w:spacing w:val="-73"/>
          <w:sz w:val="24"/>
          <w:szCs w:val="24"/>
          <w:highlight w:val="none"/>
        </w:rPr>
        <w:t xml:space="preserve"> </w:t>
      </w:r>
      <w:r>
        <w:rPr>
          <w:rFonts w:hint="eastAsia" w:ascii="宋体" w:hAnsi="宋体" w:eastAsia="宋体" w:cs="宋体"/>
          <w:spacing w:val="7"/>
          <w:sz w:val="24"/>
          <w:szCs w:val="24"/>
          <w:highlight w:val="none"/>
        </w:rPr>
        <w:t>”对接处理，确保符合公</w:t>
      </w:r>
      <w:r>
        <w:rPr>
          <w:rFonts w:hint="eastAsia" w:ascii="宋体" w:hAnsi="宋体" w:eastAsia="宋体" w:cs="宋体"/>
          <w:spacing w:val="6"/>
          <w:sz w:val="24"/>
          <w:szCs w:val="24"/>
          <w:highlight w:val="none"/>
        </w:rPr>
        <w:t>司业务</w:t>
      </w:r>
      <w:r>
        <w:rPr>
          <w:rFonts w:hint="eastAsia" w:ascii="宋体" w:hAnsi="宋体" w:eastAsia="宋体" w:cs="宋体"/>
          <w:color w:val="181C1F"/>
          <w:spacing w:val="6"/>
          <w:sz w:val="24"/>
          <w:szCs w:val="24"/>
          <w:highlight w:val="none"/>
        </w:rPr>
        <w:t>流程；如发现蒙牛公司员工存在不</w:t>
      </w:r>
      <w:r>
        <w:rPr>
          <w:rFonts w:hint="eastAsia" w:ascii="宋体" w:hAnsi="宋体" w:eastAsia="宋体" w:cs="宋体"/>
          <w:color w:val="181C1F"/>
          <w:sz w:val="24"/>
          <w:szCs w:val="24"/>
          <w:highlight w:val="none"/>
        </w:rPr>
        <w:t xml:space="preserve"> </w:t>
      </w:r>
      <w:r>
        <w:rPr>
          <w:rFonts w:hint="eastAsia" w:ascii="宋体" w:hAnsi="宋体" w:eastAsia="宋体" w:cs="宋体"/>
          <w:color w:val="181C1F"/>
          <w:spacing w:val="8"/>
          <w:sz w:val="24"/>
          <w:szCs w:val="24"/>
          <w:highlight w:val="none"/>
        </w:rPr>
        <w:t>诚信行为、作风问题及任何违反廉洁规定的行为，及时通过“</w:t>
      </w:r>
      <w:r>
        <w:rPr>
          <w:rFonts w:hint="eastAsia" w:ascii="宋体" w:hAnsi="宋体" w:eastAsia="宋体" w:cs="宋体"/>
          <w:color w:val="181C1F"/>
          <w:spacing w:val="-61"/>
          <w:sz w:val="24"/>
          <w:szCs w:val="24"/>
          <w:highlight w:val="none"/>
        </w:rPr>
        <w:t xml:space="preserve"> </w:t>
      </w:r>
      <w:r>
        <w:rPr>
          <w:rFonts w:hint="eastAsia" w:ascii="宋体" w:hAnsi="宋体" w:eastAsia="宋体" w:cs="宋体"/>
          <w:color w:val="181C1F"/>
          <w:spacing w:val="8"/>
          <w:sz w:val="24"/>
          <w:szCs w:val="24"/>
          <w:highlight w:val="none"/>
        </w:rPr>
        <w:t>常温纪委监督信息卡</w:t>
      </w:r>
      <w:r>
        <w:rPr>
          <w:rFonts w:hint="eastAsia" w:ascii="宋体" w:hAnsi="宋体" w:eastAsia="宋体" w:cs="宋体"/>
          <w:color w:val="181C1F"/>
          <w:spacing w:val="-69"/>
          <w:sz w:val="24"/>
          <w:szCs w:val="24"/>
          <w:highlight w:val="none"/>
        </w:rPr>
        <w:t xml:space="preserve"> </w:t>
      </w:r>
      <w:r>
        <w:rPr>
          <w:rFonts w:hint="eastAsia" w:ascii="宋体" w:hAnsi="宋体" w:eastAsia="宋体" w:cs="宋体"/>
          <w:color w:val="181C1F"/>
          <w:spacing w:val="8"/>
          <w:sz w:val="24"/>
          <w:szCs w:val="24"/>
          <w:highlight w:val="none"/>
        </w:rPr>
        <w:t>” 在一</w:t>
      </w:r>
      <w:r>
        <w:rPr>
          <w:rFonts w:hint="eastAsia" w:ascii="宋体" w:hAnsi="宋体" w:eastAsia="宋体" w:cs="宋体"/>
          <w:color w:val="181C1F"/>
          <w:sz w:val="24"/>
          <w:szCs w:val="24"/>
          <w:highlight w:val="none"/>
        </w:rPr>
        <w:t xml:space="preserve"> </w:t>
      </w:r>
      <w:r>
        <w:rPr>
          <w:rFonts w:hint="eastAsia" w:ascii="宋体" w:hAnsi="宋体" w:eastAsia="宋体" w:cs="宋体"/>
          <w:color w:val="181C1F"/>
          <w:spacing w:val="7"/>
          <w:sz w:val="24"/>
          <w:szCs w:val="24"/>
          <w:highlight w:val="none"/>
        </w:rPr>
        <w:t>个月内实事求是的向常温纪委举报反馈（蒙牛将对举报信息严格</w:t>
      </w:r>
      <w:r>
        <w:rPr>
          <w:rFonts w:hint="eastAsia" w:ascii="宋体" w:hAnsi="宋体" w:eastAsia="宋体" w:cs="宋体"/>
          <w:color w:val="181C1F"/>
          <w:spacing w:val="6"/>
          <w:sz w:val="24"/>
          <w:szCs w:val="24"/>
          <w:highlight w:val="none"/>
        </w:rPr>
        <w:t>保密）。</w:t>
      </w:r>
    </w:p>
    <w:p w14:paraId="515C8B77">
      <w:pPr>
        <w:pStyle w:val="5"/>
        <w:spacing w:before="2" w:line="370" w:lineRule="auto"/>
        <w:ind w:left="27" w:right="57" w:firstLine="526"/>
        <w:rPr>
          <w:rFonts w:hint="eastAsia" w:ascii="宋体" w:hAnsi="宋体" w:eastAsia="宋体" w:cs="宋体"/>
          <w:sz w:val="24"/>
          <w:szCs w:val="24"/>
          <w:highlight w:val="none"/>
        </w:rPr>
      </w:pPr>
      <w:r>
        <w:rPr>
          <w:rFonts w:hint="eastAsia" w:ascii="宋体" w:hAnsi="宋体" w:eastAsia="宋体" w:cs="宋体"/>
          <w:color w:val="181C1F"/>
          <w:spacing w:val="8"/>
          <w:sz w:val="24"/>
          <w:szCs w:val="24"/>
          <w:highlight w:val="none"/>
        </w:rPr>
        <w:t>本承诺书与《阳光协议》</w:t>
      </w:r>
      <w:r>
        <w:rPr>
          <w:rFonts w:hint="eastAsia" w:ascii="宋体" w:hAnsi="宋体" w:eastAsia="宋体" w:cs="宋体"/>
          <w:color w:val="181C1F"/>
          <w:spacing w:val="-34"/>
          <w:sz w:val="24"/>
          <w:szCs w:val="24"/>
          <w:highlight w:val="none"/>
        </w:rPr>
        <w:t xml:space="preserve"> </w:t>
      </w:r>
      <w:r>
        <w:rPr>
          <w:rFonts w:hint="eastAsia" w:ascii="宋体" w:hAnsi="宋体" w:eastAsia="宋体" w:cs="宋体"/>
          <w:color w:val="181C1F"/>
          <w:spacing w:val="8"/>
          <w:sz w:val="24"/>
          <w:szCs w:val="24"/>
          <w:highlight w:val="none"/>
        </w:rPr>
        <w:t>同步签订，双方共同遵守。我们坚信，只有双方共同坚守诚</w:t>
      </w:r>
      <w:r>
        <w:rPr>
          <w:rFonts w:hint="eastAsia" w:ascii="宋体" w:hAnsi="宋体" w:eastAsia="宋体" w:cs="宋体"/>
          <w:color w:val="181C1F"/>
          <w:sz w:val="24"/>
          <w:szCs w:val="24"/>
          <w:highlight w:val="none"/>
        </w:rPr>
        <w:t xml:space="preserve"> </w:t>
      </w:r>
      <w:r>
        <w:rPr>
          <w:rFonts w:hint="eastAsia" w:ascii="宋体" w:hAnsi="宋体" w:eastAsia="宋体" w:cs="宋体"/>
          <w:color w:val="181C1F"/>
          <w:spacing w:val="8"/>
          <w:sz w:val="24"/>
          <w:szCs w:val="24"/>
          <w:highlight w:val="none"/>
        </w:rPr>
        <w:t>信廉洁底线，才能实现长期共赢和可持续发展。</w:t>
      </w:r>
    </w:p>
    <w:p w14:paraId="118E0914">
      <w:pPr>
        <w:spacing w:line="243" w:lineRule="auto"/>
        <w:rPr>
          <w:rFonts w:hint="eastAsia" w:ascii="宋体" w:hAnsi="宋体" w:eastAsia="宋体" w:cs="宋体"/>
          <w:sz w:val="24"/>
          <w:szCs w:val="24"/>
          <w:highlight w:val="none"/>
        </w:rPr>
      </w:pPr>
      <w:r>
        <w:rPr>
          <w:rFonts w:hint="eastAsia" w:ascii="宋体" w:hAnsi="宋体" w:eastAsia="宋体" w:cs="宋体"/>
          <w:position w:val="-14"/>
          <w:sz w:val="24"/>
          <w:szCs w:val="24"/>
          <w:highlight w:val="none"/>
        </w:rPr>
        <w:drawing>
          <wp:anchor distT="0" distB="0" distL="0" distR="0" simplePos="0" relativeHeight="251660288" behindDoc="0" locked="0" layoutInCell="1" allowOverlap="1">
            <wp:simplePos x="0" y="0"/>
            <wp:positionH relativeFrom="column">
              <wp:posOffset>2561590</wp:posOffset>
            </wp:positionH>
            <wp:positionV relativeFrom="paragraph">
              <wp:posOffset>163195</wp:posOffset>
            </wp:positionV>
            <wp:extent cx="876300" cy="409575"/>
            <wp:effectExtent l="0" t="0" r="7620" b="1905"/>
            <wp:wrapNone/>
            <wp:docPr id="9" name="IM 2"/>
            <wp:cNvGraphicFramePr/>
            <a:graphic xmlns:a="http://schemas.openxmlformats.org/drawingml/2006/main">
              <a:graphicData uri="http://schemas.openxmlformats.org/drawingml/2006/picture">
                <pic:pic xmlns:pic="http://schemas.openxmlformats.org/drawingml/2006/picture">
                  <pic:nvPicPr>
                    <pic:cNvPr id="9" name="IM 2"/>
                    <pic:cNvPicPr/>
                  </pic:nvPicPr>
                  <pic:blipFill>
                    <a:blip r:embed="rId4"/>
                    <a:srcRect l="6721" t="6365" r="7405" b="2405"/>
                    <a:stretch>
                      <a:fillRect/>
                    </a:stretch>
                  </pic:blipFill>
                  <pic:spPr>
                    <a:xfrm>
                      <a:off x="0" y="0"/>
                      <a:ext cx="876300" cy="409575"/>
                    </a:xfrm>
                    <a:prstGeom prst="rect">
                      <a:avLst/>
                    </a:prstGeom>
                  </pic:spPr>
                </pic:pic>
              </a:graphicData>
            </a:graphic>
          </wp:anchor>
        </w:drawing>
      </w:r>
    </w:p>
    <w:p w14:paraId="29DBB926">
      <w:pPr>
        <w:pStyle w:val="5"/>
        <w:spacing w:before="65" w:line="229" w:lineRule="auto"/>
        <w:ind w:left="39"/>
        <w:rPr>
          <w:rFonts w:hint="eastAsia" w:ascii="宋体" w:hAnsi="宋体" w:eastAsia="宋体" w:cs="宋体"/>
          <w:sz w:val="24"/>
          <w:szCs w:val="24"/>
          <w:highlight w:val="none"/>
        </w:rPr>
      </w:pPr>
      <w:r>
        <w:rPr>
          <w:rFonts w:hint="eastAsia" w:ascii="宋体" w:hAnsi="宋体" w:eastAsia="宋体" w:cs="宋体"/>
          <w:color w:val="181C1F"/>
          <w:spacing w:val="7"/>
          <w:sz w:val="24"/>
          <w:szCs w:val="24"/>
          <w:highlight w:val="none"/>
        </w:rPr>
        <w:t>常温事业部供应链管理中心总经理：            合作方责任人：</w:t>
      </w:r>
    </w:p>
    <w:p w14:paraId="2BF0B009">
      <w:pPr>
        <w:spacing w:before="37" w:line="708" w:lineRule="exact"/>
        <w:ind w:firstLine="986"/>
        <w:rPr>
          <w:rFonts w:hint="eastAsia" w:ascii="宋体" w:hAnsi="宋体" w:eastAsia="宋体" w:cs="宋体"/>
          <w:sz w:val="24"/>
          <w:szCs w:val="24"/>
          <w:highlight w:val="none"/>
        </w:rPr>
      </w:pPr>
      <w:r>
        <w:rPr>
          <w:rFonts w:hint="eastAsia" w:ascii="宋体" w:hAnsi="宋体" w:eastAsia="宋体" w:cs="宋体"/>
          <w:position w:val="-17"/>
          <w:sz w:val="24"/>
          <w:szCs w:val="24"/>
          <w:highlight w:val="none"/>
        </w:rPr>
        <w:drawing>
          <wp:anchor distT="0" distB="0" distL="0" distR="0" simplePos="0" relativeHeight="251661312" behindDoc="0" locked="0" layoutInCell="1" allowOverlap="1">
            <wp:simplePos x="0" y="0"/>
            <wp:positionH relativeFrom="column">
              <wp:posOffset>1085215</wp:posOffset>
            </wp:positionH>
            <wp:positionV relativeFrom="paragraph">
              <wp:posOffset>433070</wp:posOffset>
            </wp:positionV>
            <wp:extent cx="723900" cy="447675"/>
            <wp:effectExtent l="0" t="0" r="7620" b="9525"/>
            <wp:wrapNone/>
            <wp:docPr id="10" name="IM 4"/>
            <wp:cNvGraphicFramePr/>
            <a:graphic xmlns:a="http://schemas.openxmlformats.org/drawingml/2006/main">
              <a:graphicData uri="http://schemas.openxmlformats.org/drawingml/2006/picture">
                <pic:pic xmlns:pic="http://schemas.openxmlformats.org/drawingml/2006/picture">
                  <pic:nvPicPr>
                    <pic:cNvPr id="10" name="IM 4"/>
                    <pic:cNvPicPr/>
                  </pic:nvPicPr>
                  <pic:blipFill>
                    <a:blip r:embed="rId5"/>
                    <a:srcRect l="13371" t="10995" r="5548" b="7407"/>
                    <a:stretch>
                      <a:fillRect/>
                    </a:stretch>
                  </pic:blipFill>
                  <pic:spPr>
                    <a:xfrm>
                      <a:off x="0" y="0"/>
                      <a:ext cx="723900" cy="447675"/>
                    </a:xfrm>
                    <a:prstGeom prst="rect">
                      <a:avLst/>
                    </a:prstGeom>
                  </pic:spPr>
                </pic:pic>
              </a:graphicData>
            </a:graphic>
          </wp:anchor>
        </w:drawing>
      </w:r>
    </w:p>
    <w:p w14:paraId="6A62D231">
      <w:pPr>
        <w:pStyle w:val="5"/>
        <w:spacing w:before="253" w:line="209" w:lineRule="auto"/>
        <w:ind w:left="39"/>
        <w:rPr>
          <w:rFonts w:hint="eastAsia" w:ascii="宋体" w:hAnsi="宋体" w:eastAsia="宋体" w:cs="宋体"/>
          <w:sz w:val="24"/>
          <w:szCs w:val="24"/>
          <w:highlight w:val="none"/>
        </w:rPr>
      </w:pPr>
      <w:r>
        <w:rPr>
          <w:rFonts w:hint="eastAsia" w:ascii="宋体" w:hAnsi="宋体" w:eastAsia="宋体" w:cs="宋体"/>
          <w:color w:val="181C1F"/>
          <w:spacing w:val="4"/>
          <w:sz w:val="24"/>
          <w:szCs w:val="24"/>
          <w:highlight w:val="none"/>
        </w:rPr>
        <w:t>常温纪委书记：</w:t>
      </w:r>
    </w:p>
    <w:p w14:paraId="3176CA72">
      <w:pPr>
        <w:spacing w:line="864" w:lineRule="exact"/>
        <w:ind w:firstLine="1036"/>
        <w:rPr>
          <w:rFonts w:hint="eastAsia" w:ascii="宋体" w:hAnsi="宋体" w:eastAsia="宋体" w:cs="宋体"/>
          <w:sz w:val="24"/>
          <w:szCs w:val="24"/>
          <w:highlight w:val="none"/>
        </w:rPr>
      </w:pPr>
    </w:p>
    <w:p w14:paraId="1895DEF0">
      <w:pPr>
        <w:pStyle w:val="5"/>
        <w:spacing w:before="112" w:line="232" w:lineRule="auto"/>
        <w:ind w:left="32"/>
        <w:rPr>
          <w:rFonts w:hint="eastAsia" w:ascii="宋体" w:hAnsi="宋体" w:eastAsia="宋体" w:cs="宋体"/>
          <w:color w:val="181C1F"/>
          <w:spacing w:val="-3"/>
          <w:sz w:val="24"/>
          <w:szCs w:val="24"/>
          <w:highlight w:val="none"/>
        </w:rPr>
      </w:pPr>
      <w:r>
        <w:rPr>
          <w:rFonts w:hint="eastAsia" w:ascii="宋体" w:hAnsi="宋体" w:eastAsia="宋体" w:cs="宋体"/>
          <w:color w:val="181C1F"/>
          <w:spacing w:val="-3"/>
          <w:sz w:val="24"/>
          <w:szCs w:val="24"/>
          <w:highlight w:val="none"/>
        </w:rPr>
        <w:t>签订</w:t>
      </w:r>
      <w:r>
        <w:rPr>
          <w:rFonts w:hint="eastAsia" w:ascii="宋体" w:hAnsi="宋体" w:eastAsia="宋体" w:cs="宋体"/>
          <w:color w:val="181C1F"/>
          <w:spacing w:val="-40"/>
          <w:sz w:val="24"/>
          <w:szCs w:val="24"/>
          <w:highlight w:val="none"/>
        </w:rPr>
        <w:t xml:space="preserve"> </w:t>
      </w:r>
      <w:r>
        <w:rPr>
          <w:rFonts w:hint="eastAsia" w:ascii="宋体" w:hAnsi="宋体" w:eastAsia="宋体" w:cs="宋体"/>
          <w:color w:val="181C1F"/>
          <w:spacing w:val="-3"/>
          <w:sz w:val="24"/>
          <w:szCs w:val="24"/>
          <w:highlight w:val="none"/>
        </w:rPr>
        <w:t>日期：</w:t>
      </w:r>
      <w:r>
        <w:rPr>
          <w:rFonts w:hint="eastAsia" w:ascii="宋体" w:hAnsi="宋体" w:eastAsia="宋体" w:cs="宋体"/>
          <w:color w:val="181C1F"/>
          <w:spacing w:val="12"/>
          <w:sz w:val="24"/>
          <w:szCs w:val="24"/>
          <w:highlight w:val="none"/>
        </w:rPr>
        <w:t xml:space="preserve">   </w:t>
      </w:r>
      <w:r>
        <w:rPr>
          <w:rFonts w:hint="eastAsia" w:ascii="宋体" w:hAnsi="宋体" w:eastAsia="宋体" w:cs="宋体"/>
          <w:color w:val="181C1F"/>
          <w:spacing w:val="12"/>
          <w:sz w:val="24"/>
          <w:szCs w:val="24"/>
          <w:highlight w:val="none"/>
          <w:lang w:val="en-US" w:eastAsia="zh-CN"/>
        </w:rPr>
        <w:t xml:space="preserve">       </w:t>
      </w:r>
      <w:r>
        <w:rPr>
          <w:rFonts w:hint="eastAsia" w:ascii="宋体" w:hAnsi="宋体" w:eastAsia="宋体" w:cs="宋体"/>
          <w:color w:val="181C1F"/>
          <w:spacing w:val="1"/>
          <w:sz w:val="24"/>
          <w:szCs w:val="24"/>
          <w:highlight w:val="none"/>
        </w:rPr>
        <w:t xml:space="preserve">                         </w:t>
      </w:r>
      <w:r>
        <w:rPr>
          <w:rFonts w:hint="eastAsia" w:ascii="宋体" w:hAnsi="宋体" w:eastAsia="宋体" w:cs="宋体"/>
          <w:color w:val="181C1F"/>
          <w:spacing w:val="-3"/>
          <w:sz w:val="24"/>
          <w:szCs w:val="24"/>
          <w:highlight w:val="none"/>
        </w:rPr>
        <w:t>签订日期：</w:t>
      </w:r>
    </w:p>
    <w:p w14:paraId="6D84609A">
      <w:pPr>
        <w:pStyle w:val="5"/>
        <w:spacing w:before="112" w:line="232" w:lineRule="auto"/>
        <w:ind w:left="32"/>
        <w:rPr>
          <w:rFonts w:hint="eastAsia" w:ascii="宋体" w:hAnsi="宋体" w:eastAsia="宋体" w:cs="宋体"/>
          <w:color w:val="181C1F"/>
          <w:spacing w:val="-3"/>
          <w:sz w:val="24"/>
          <w:szCs w:val="24"/>
          <w:highlight w:val="none"/>
        </w:rPr>
      </w:pPr>
    </w:p>
    <w:p w14:paraId="0B8DB7E6">
      <w:pPr>
        <w:pStyle w:val="5"/>
        <w:spacing w:before="42" w:line="230" w:lineRule="auto"/>
        <w:ind w:left="1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常温供应链管理中心信息卡</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7"/>
          <w:sz w:val="24"/>
          <w:szCs w:val="24"/>
          <w:highlight w:val="none"/>
        </w:rPr>
        <w:t>常温纪委监督信息卡</w:t>
      </w:r>
    </w:p>
    <w:p w14:paraId="7C97E74F">
      <w:pPr>
        <w:pStyle w:val="5"/>
        <w:spacing w:before="151" w:line="232" w:lineRule="auto"/>
        <w:ind w:left="5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电话：0471-7390699</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电话：18004862111</w:t>
      </w:r>
    </w:p>
    <w:p w14:paraId="0B5DBBBC">
      <w:pPr>
        <w:pStyle w:val="5"/>
        <w:spacing w:before="149" w:line="283" w:lineRule="auto"/>
        <w:ind w:right="2060" w:firstLine="14"/>
        <w:rPr>
          <w:rFonts w:hint="eastAsia" w:ascii="宋体" w:hAnsi="宋体" w:eastAsia="宋体" w:cs="宋体"/>
          <w:sz w:val="24"/>
          <w:szCs w:val="24"/>
          <w:highlight w:val="none"/>
        </w:rPr>
      </w:pPr>
      <w:r>
        <w:rPr>
          <w:rFonts w:hint="eastAsia" w:ascii="宋体" w:hAnsi="宋体" w:eastAsia="宋体" w:cs="宋体"/>
          <w:color w:val="181C1F"/>
          <w:spacing w:val="14"/>
          <w:sz w:val="24"/>
          <w:szCs w:val="24"/>
          <w:highlight w:val="none"/>
        </w:rPr>
        <w:t>邮箱: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"guojianxia@mengniu.cn" </w:instrText>
      </w:r>
      <w:r>
        <w:rPr>
          <w:rFonts w:hint="eastAsia" w:ascii="宋体" w:hAnsi="宋体" w:eastAsia="宋体" w:cs="宋体"/>
          <w:sz w:val="24"/>
          <w:szCs w:val="24"/>
          <w:highlight w:val="none"/>
        </w:rPr>
        <w:fldChar w:fldCharType="separate"/>
      </w:r>
      <w:r>
        <w:rPr>
          <w:rFonts w:hint="eastAsia" w:ascii="宋体" w:hAnsi="宋体" w:eastAsia="宋体" w:cs="宋体"/>
          <w:color w:val="181C1F"/>
          <w:sz w:val="24"/>
          <w:szCs w:val="24"/>
          <w:highlight w:val="none"/>
        </w:rPr>
        <w:t>cwjw</w:t>
      </w:r>
      <w:r>
        <w:rPr>
          <w:rFonts w:hint="eastAsia" w:ascii="宋体" w:hAnsi="宋体" w:eastAsia="宋体" w:cs="宋体"/>
          <w:color w:val="181C1F"/>
          <w:spacing w:val="14"/>
          <w:sz w:val="24"/>
          <w:szCs w:val="24"/>
          <w:highlight w:val="none"/>
        </w:rPr>
        <w:t>@</w:t>
      </w:r>
      <w:r>
        <w:rPr>
          <w:rFonts w:hint="eastAsia" w:ascii="宋体" w:hAnsi="宋体" w:eastAsia="宋体" w:cs="宋体"/>
          <w:color w:val="181C1F"/>
          <w:sz w:val="24"/>
          <w:szCs w:val="24"/>
          <w:highlight w:val="none"/>
        </w:rPr>
        <w:t>mengniu</w:t>
      </w:r>
      <w:r>
        <w:rPr>
          <w:rFonts w:hint="eastAsia" w:ascii="宋体" w:hAnsi="宋体" w:eastAsia="宋体" w:cs="宋体"/>
          <w:color w:val="181C1F"/>
          <w:spacing w:val="14"/>
          <w:sz w:val="24"/>
          <w:szCs w:val="24"/>
          <w:highlight w:val="none"/>
        </w:rPr>
        <w:t>.</w:t>
      </w:r>
      <w:r>
        <w:rPr>
          <w:rFonts w:hint="eastAsia" w:ascii="宋体" w:hAnsi="宋体" w:eastAsia="宋体" w:cs="宋体"/>
          <w:color w:val="181C1F"/>
          <w:sz w:val="24"/>
          <w:szCs w:val="24"/>
          <w:highlight w:val="none"/>
        </w:rPr>
        <w:t>cn</w:t>
      </w:r>
      <w:r>
        <w:rPr>
          <w:rFonts w:hint="eastAsia" w:ascii="宋体" w:hAnsi="宋体" w:eastAsia="宋体" w:cs="宋体"/>
          <w:color w:val="181C1F"/>
          <w:sz w:val="24"/>
          <w:szCs w:val="24"/>
          <w:highlight w:val="none"/>
        </w:rPr>
        <w:fldChar w:fldCharType="end"/>
      </w:r>
      <w:r>
        <w:rPr>
          <w:rFonts w:hint="eastAsia" w:ascii="宋体" w:hAnsi="宋体" w:eastAsia="宋体" w:cs="宋体"/>
          <w:color w:val="181C1F"/>
          <w:sz w:val="24"/>
          <w:szCs w:val="24"/>
          <w:highlight w:val="none"/>
        </w:rPr>
        <w:t xml:space="preserve"> </w:t>
      </w:r>
      <w:r>
        <w:rPr>
          <w:rFonts w:hint="eastAsia" w:ascii="宋体" w:hAnsi="宋体" w:eastAsia="宋体" w:cs="宋体"/>
          <w:color w:val="181C1F"/>
          <w:sz w:val="24"/>
          <w:szCs w:val="24"/>
          <w:highlight w:val="none"/>
          <w:lang w:val="en-US" w:eastAsia="zh-CN"/>
        </w:rPr>
        <w:t xml:space="preserve">        </w:t>
      </w:r>
      <w:r>
        <w:rPr>
          <w:rFonts w:hint="eastAsia" w:ascii="宋体" w:hAnsi="宋体" w:eastAsia="宋体" w:cs="宋体"/>
          <w:spacing w:val="17"/>
          <w:sz w:val="24"/>
          <w:szCs w:val="24"/>
          <w:highlight w:val="none"/>
        </w:rPr>
        <w:t xml:space="preserve">邮箱: </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"mailto:zhangqiaofen@mengniu.cn"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zhangqiaofen@mengniu.cn</w:t>
      </w:r>
      <w:r>
        <w:rPr>
          <w:rFonts w:hint="eastAsia" w:ascii="宋体" w:hAnsi="宋体" w:eastAsia="宋体" w:cs="宋体"/>
          <w:sz w:val="24"/>
          <w:szCs w:val="24"/>
          <w:highlight w:val="none"/>
        </w:rPr>
        <w:fldChar w:fldCharType="end"/>
      </w:r>
    </w:p>
    <w:p w14:paraId="2E34D057">
      <w:pPr>
        <w:pStyle w:val="5"/>
        <w:spacing w:before="43" w:line="23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181C1F"/>
          <w:spacing w:val="5"/>
          <w:sz w:val="24"/>
          <w:szCs w:val="24"/>
          <w:highlight w:val="none"/>
        </w:rPr>
        <w:t>举报二维码：</w:t>
      </w:r>
      <w:r>
        <w:rPr>
          <w:rFonts w:hint="eastAsia" w:ascii="宋体" w:hAnsi="宋体" w:eastAsia="宋体" w:cs="宋体"/>
          <w:color w:val="181C1F"/>
          <w:spacing w:val="5"/>
          <w:sz w:val="24"/>
          <w:szCs w:val="24"/>
          <w:highlight w:val="none"/>
          <w:lang w:val="en-US" w:eastAsia="zh-CN"/>
        </w:rPr>
        <w:t xml:space="preserve"> </w:t>
      </w:r>
    </w:p>
    <w:p w14:paraId="37C7F5A7">
      <w:pPr>
        <w:pStyle w:val="5"/>
        <w:spacing w:before="150" w:line="224" w:lineRule="auto"/>
        <w:ind w:left="43"/>
        <w:rPr>
          <w:highlight w:val="none"/>
        </w:rPr>
      </w:pPr>
      <w:r>
        <w:rPr>
          <w:rFonts w:hint="eastAsia" w:ascii="宋体" w:hAnsi="宋体" w:eastAsia="宋体" w:cs="宋体"/>
          <w:sz w:val="24"/>
          <w:szCs w:val="24"/>
          <w:highlight w:val="none"/>
        </w:rPr>
        <w:drawing>
          <wp:anchor distT="0" distB="0" distL="0" distR="0" simplePos="0" relativeHeight="251659264" behindDoc="0" locked="0" layoutInCell="1" allowOverlap="1">
            <wp:simplePos x="0" y="0"/>
            <wp:positionH relativeFrom="column">
              <wp:posOffset>3843655</wp:posOffset>
            </wp:positionH>
            <wp:positionV relativeFrom="paragraph">
              <wp:posOffset>94615</wp:posOffset>
            </wp:positionV>
            <wp:extent cx="952500" cy="880745"/>
            <wp:effectExtent l="0" t="0" r="7620" b="3175"/>
            <wp:wrapNone/>
            <wp:docPr id="13" name="IM 6"/>
            <wp:cNvGraphicFramePr/>
            <a:graphic xmlns:a="http://schemas.openxmlformats.org/drawingml/2006/main">
              <a:graphicData uri="http://schemas.openxmlformats.org/drawingml/2006/picture">
                <pic:pic xmlns:pic="http://schemas.openxmlformats.org/drawingml/2006/picture">
                  <pic:nvPicPr>
                    <pic:cNvPr id="13" name="IM 6"/>
                    <pic:cNvPicPr/>
                  </pic:nvPicPr>
                  <pic:blipFill>
                    <a:blip r:embed="rId6"/>
                    <a:stretch>
                      <a:fillRect/>
                    </a:stretch>
                  </pic:blipFill>
                  <pic:spPr>
                    <a:xfrm>
                      <a:off x="0" y="0"/>
                      <a:ext cx="952500" cy="880871"/>
                    </a:xfrm>
                    <a:prstGeom prst="rect">
                      <a:avLst/>
                    </a:prstGeom>
                  </pic:spPr>
                </pic:pic>
              </a:graphicData>
            </a:graphic>
          </wp:anchor>
        </w:drawing>
      </w:r>
    </w:p>
    <w:p w14:paraId="746F3FF9">
      <w:pPr>
        <w:pStyle w:val="5"/>
        <w:spacing w:before="150" w:line="224" w:lineRule="auto"/>
        <w:ind w:left="43"/>
        <w:rPr>
          <w:highlight w:val="none"/>
        </w:rPr>
      </w:pPr>
    </w:p>
    <w:p w14:paraId="3948CDF9">
      <w:pPr>
        <w:pStyle w:val="5"/>
        <w:spacing w:before="150" w:line="224" w:lineRule="auto"/>
        <w:ind w:left="43"/>
        <w:rPr>
          <w:highlight w:val="none"/>
        </w:rPr>
      </w:pPr>
    </w:p>
    <w:p w14:paraId="7AD1BF85">
      <w:pPr>
        <w:pStyle w:val="5"/>
        <w:spacing w:before="150" w:line="224" w:lineRule="auto"/>
        <w:ind w:left="43"/>
        <w:rPr>
          <w:highlight w:val="none"/>
        </w:rPr>
      </w:pPr>
    </w:p>
    <w:p w14:paraId="7333FE9A">
      <w:pPr>
        <w:pStyle w:val="5"/>
        <w:spacing w:before="159" w:line="230" w:lineRule="auto"/>
        <w:ind w:left="4437"/>
        <w:rPr>
          <w:rFonts w:hint="eastAsia"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43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300D7"/>
    <w:rsid w:val="022C10F3"/>
    <w:rsid w:val="03004097"/>
    <w:rsid w:val="0319454E"/>
    <w:rsid w:val="033C7273"/>
    <w:rsid w:val="03667C72"/>
    <w:rsid w:val="03BF632D"/>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8E4DDC"/>
    <w:rsid w:val="09AE1D07"/>
    <w:rsid w:val="09E13D9B"/>
    <w:rsid w:val="0A191365"/>
    <w:rsid w:val="0A3127B5"/>
    <w:rsid w:val="0A5148B3"/>
    <w:rsid w:val="0A620AA0"/>
    <w:rsid w:val="0AC16ABD"/>
    <w:rsid w:val="0ACD1112"/>
    <w:rsid w:val="0B776CC6"/>
    <w:rsid w:val="0BB439AC"/>
    <w:rsid w:val="0BCE4606"/>
    <w:rsid w:val="0BF53A95"/>
    <w:rsid w:val="0BFA1EC0"/>
    <w:rsid w:val="0C2A0F45"/>
    <w:rsid w:val="0C5B5166"/>
    <w:rsid w:val="0C8C1339"/>
    <w:rsid w:val="0C975167"/>
    <w:rsid w:val="0D191BE1"/>
    <w:rsid w:val="0D2D4BF0"/>
    <w:rsid w:val="0D8C1FCE"/>
    <w:rsid w:val="0DE64E7B"/>
    <w:rsid w:val="0E7E0566"/>
    <w:rsid w:val="0EA42601"/>
    <w:rsid w:val="0EAA7742"/>
    <w:rsid w:val="0F476230"/>
    <w:rsid w:val="0F97436E"/>
    <w:rsid w:val="0F977B31"/>
    <w:rsid w:val="0F991612"/>
    <w:rsid w:val="0F9E3BE6"/>
    <w:rsid w:val="0FAD34EB"/>
    <w:rsid w:val="0FFA3A60"/>
    <w:rsid w:val="110F5944"/>
    <w:rsid w:val="11BD13A5"/>
    <w:rsid w:val="129973FF"/>
    <w:rsid w:val="132C2A20"/>
    <w:rsid w:val="135E63ED"/>
    <w:rsid w:val="13840C20"/>
    <w:rsid w:val="13A6796B"/>
    <w:rsid w:val="13D26F2C"/>
    <w:rsid w:val="14547260"/>
    <w:rsid w:val="150F0169"/>
    <w:rsid w:val="151F55DC"/>
    <w:rsid w:val="1527707C"/>
    <w:rsid w:val="15BE44B8"/>
    <w:rsid w:val="15DC0BC8"/>
    <w:rsid w:val="16436D08"/>
    <w:rsid w:val="167F2C0C"/>
    <w:rsid w:val="168121B2"/>
    <w:rsid w:val="16E12982"/>
    <w:rsid w:val="16EB7643"/>
    <w:rsid w:val="170A4CC0"/>
    <w:rsid w:val="17120E59"/>
    <w:rsid w:val="171A4BA4"/>
    <w:rsid w:val="17614581"/>
    <w:rsid w:val="179007D9"/>
    <w:rsid w:val="17A34DD2"/>
    <w:rsid w:val="17E52734"/>
    <w:rsid w:val="17E76CE2"/>
    <w:rsid w:val="18555B48"/>
    <w:rsid w:val="18652676"/>
    <w:rsid w:val="188047C9"/>
    <w:rsid w:val="1893534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ED10999"/>
    <w:rsid w:val="1F83778A"/>
    <w:rsid w:val="202A53EE"/>
    <w:rsid w:val="202D76F6"/>
    <w:rsid w:val="205D6CBF"/>
    <w:rsid w:val="21300ADF"/>
    <w:rsid w:val="21AC6826"/>
    <w:rsid w:val="21AF1B36"/>
    <w:rsid w:val="21D56D2D"/>
    <w:rsid w:val="21E8421C"/>
    <w:rsid w:val="22C344E3"/>
    <w:rsid w:val="22C42F77"/>
    <w:rsid w:val="22E2588F"/>
    <w:rsid w:val="22E62D3E"/>
    <w:rsid w:val="237160D1"/>
    <w:rsid w:val="23E34D81"/>
    <w:rsid w:val="24225C6E"/>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9F34654"/>
    <w:rsid w:val="2A936DFF"/>
    <w:rsid w:val="2B0C4378"/>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A12816"/>
    <w:rsid w:val="2ED300D8"/>
    <w:rsid w:val="2ED565A3"/>
    <w:rsid w:val="2EDC2A13"/>
    <w:rsid w:val="2EEB4016"/>
    <w:rsid w:val="2F6562BB"/>
    <w:rsid w:val="2F863B55"/>
    <w:rsid w:val="2F9017B9"/>
    <w:rsid w:val="2FAF2966"/>
    <w:rsid w:val="30713277"/>
    <w:rsid w:val="311100D9"/>
    <w:rsid w:val="312E16A3"/>
    <w:rsid w:val="312E5487"/>
    <w:rsid w:val="31657582"/>
    <w:rsid w:val="31903F88"/>
    <w:rsid w:val="3198620B"/>
    <w:rsid w:val="31C532B5"/>
    <w:rsid w:val="31CD17FA"/>
    <w:rsid w:val="320C0AB6"/>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25E94"/>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8FD7B20"/>
    <w:rsid w:val="39976CE7"/>
    <w:rsid w:val="3A086DB2"/>
    <w:rsid w:val="3A6A7888"/>
    <w:rsid w:val="3A7546EA"/>
    <w:rsid w:val="3A8B1AFB"/>
    <w:rsid w:val="3AF17DC9"/>
    <w:rsid w:val="3B803147"/>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8C0870"/>
    <w:rsid w:val="44A66E7C"/>
    <w:rsid w:val="44BC6AA8"/>
    <w:rsid w:val="44E26E48"/>
    <w:rsid w:val="44FA5A84"/>
    <w:rsid w:val="45824297"/>
    <w:rsid w:val="45EF45C4"/>
    <w:rsid w:val="46052D96"/>
    <w:rsid w:val="46792BCF"/>
    <w:rsid w:val="468477C0"/>
    <w:rsid w:val="468679DC"/>
    <w:rsid w:val="46A0383F"/>
    <w:rsid w:val="46DB7B00"/>
    <w:rsid w:val="46EE6F59"/>
    <w:rsid w:val="47812B64"/>
    <w:rsid w:val="48D26E94"/>
    <w:rsid w:val="492F1BC7"/>
    <w:rsid w:val="49625055"/>
    <w:rsid w:val="4981448B"/>
    <w:rsid w:val="49870082"/>
    <w:rsid w:val="49AD702E"/>
    <w:rsid w:val="49C96F4B"/>
    <w:rsid w:val="49DC7359"/>
    <w:rsid w:val="4A5D6CA6"/>
    <w:rsid w:val="4A751D13"/>
    <w:rsid w:val="4ACB3DE1"/>
    <w:rsid w:val="4BAC561A"/>
    <w:rsid w:val="4C0439C1"/>
    <w:rsid w:val="4CE2798C"/>
    <w:rsid w:val="4D915781"/>
    <w:rsid w:val="4D9C1893"/>
    <w:rsid w:val="4DB94ADB"/>
    <w:rsid w:val="4E4966F7"/>
    <w:rsid w:val="4E5D3C82"/>
    <w:rsid w:val="4E605D05"/>
    <w:rsid w:val="4EAC6863"/>
    <w:rsid w:val="4EFD4238"/>
    <w:rsid w:val="4EFD777B"/>
    <w:rsid w:val="4F034298"/>
    <w:rsid w:val="501F215E"/>
    <w:rsid w:val="505F2D88"/>
    <w:rsid w:val="514318D7"/>
    <w:rsid w:val="51B743E4"/>
    <w:rsid w:val="52704994"/>
    <w:rsid w:val="5294315D"/>
    <w:rsid w:val="52972612"/>
    <w:rsid w:val="52A64F62"/>
    <w:rsid w:val="52FC10DF"/>
    <w:rsid w:val="530806DE"/>
    <w:rsid w:val="537D4134"/>
    <w:rsid w:val="538A0B3C"/>
    <w:rsid w:val="5415414D"/>
    <w:rsid w:val="54A31902"/>
    <w:rsid w:val="54BE3EA7"/>
    <w:rsid w:val="55175CA3"/>
    <w:rsid w:val="55394479"/>
    <w:rsid w:val="5543112E"/>
    <w:rsid w:val="55A70A1D"/>
    <w:rsid w:val="55B1747F"/>
    <w:rsid w:val="55B64551"/>
    <w:rsid w:val="55E92BB7"/>
    <w:rsid w:val="55E92DBD"/>
    <w:rsid w:val="55EE561B"/>
    <w:rsid w:val="564D4072"/>
    <w:rsid w:val="567B1415"/>
    <w:rsid w:val="56933A4F"/>
    <w:rsid w:val="56BE1DC5"/>
    <w:rsid w:val="56E06530"/>
    <w:rsid w:val="57264483"/>
    <w:rsid w:val="57476652"/>
    <w:rsid w:val="57544334"/>
    <w:rsid w:val="577F7102"/>
    <w:rsid w:val="58111172"/>
    <w:rsid w:val="585C49E5"/>
    <w:rsid w:val="586A599C"/>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EE8536F"/>
    <w:rsid w:val="5F75535E"/>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5EA2548"/>
    <w:rsid w:val="66106E6A"/>
    <w:rsid w:val="6646550E"/>
    <w:rsid w:val="66B249E4"/>
    <w:rsid w:val="66C43787"/>
    <w:rsid w:val="67ED4707"/>
    <w:rsid w:val="684A0189"/>
    <w:rsid w:val="694521E5"/>
    <w:rsid w:val="695569BF"/>
    <w:rsid w:val="696C7ACD"/>
    <w:rsid w:val="69D81B09"/>
    <w:rsid w:val="69F866F7"/>
    <w:rsid w:val="69FB553B"/>
    <w:rsid w:val="6A05798A"/>
    <w:rsid w:val="6A2551A9"/>
    <w:rsid w:val="6A3274DB"/>
    <w:rsid w:val="6A37428B"/>
    <w:rsid w:val="6A467039"/>
    <w:rsid w:val="6A495DD7"/>
    <w:rsid w:val="6AC95853"/>
    <w:rsid w:val="6AE22017"/>
    <w:rsid w:val="6B5925FD"/>
    <w:rsid w:val="6BA76591"/>
    <w:rsid w:val="6BD72F6C"/>
    <w:rsid w:val="6C49704F"/>
    <w:rsid w:val="6C58024E"/>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3462E0D"/>
    <w:rsid w:val="738C7F28"/>
    <w:rsid w:val="73A51698"/>
    <w:rsid w:val="73B1259F"/>
    <w:rsid w:val="73F27641"/>
    <w:rsid w:val="7438578E"/>
    <w:rsid w:val="743D682E"/>
    <w:rsid w:val="7448595E"/>
    <w:rsid w:val="746057D2"/>
    <w:rsid w:val="748A1855"/>
    <w:rsid w:val="74B370EA"/>
    <w:rsid w:val="74B86703"/>
    <w:rsid w:val="74BB18E9"/>
    <w:rsid w:val="75175D2D"/>
    <w:rsid w:val="75E9502A"/>
    <w:rsid w:val="76505678"/>
    <w:rsid w:val="76BE191E"/>
    <w:rsid w:val="76D10EBE"/>
    <w:rsid w:val="76F224C3"/>
    <w:rsid w:val="77192054"/>
    <w:rsid w:val="77446B53"/>
    <w:rsid w:val="776854FC"/>
    <w:rsid w:val="77874C68"/>
    <w:rsid w:val="778E4F25"/>
    <w:rsid w:val="77C25E33"/>
    <w:rsid w:val="77C36EA2"/>
    <w:rsid w:val="77D630EC"/>
    <w:rsid w:val="77DD61CF"/>
    <w:rsid w:val="783251F9"/>
    <w:rsid w:val="786B5803"/>
    <w:rsid w:val="78A8569E"/>
    <w:rsid w:val="78F30652"/>
    <w:rsid w:val="7922554C"/>
    <w:rsid w:val="79547C1E"/>
    <w:rsid w:val="795D4D28"/>
    <w:rsid w:val="79686CED"/>
    <w:rsid w:val="79B365C9"/>
    <w:rsid w:val="79EA3C2E"/>
    <w:rsid w:val="7A3B416C"/>
    <w:rsid w:val="7A8C5721"/>
    <w:rsid w:val="7AB010EA"/>
    <w:rsid w:val="7AB25E79"/>
    <w:rsid w:val="7B5A3FCE"/>
    <w:rsid w:val="7B616325"/>
    <w:rsid w:val="7BE96BEE"/>
    <w:rsid w:val="7BEB172F"/>
    <w:rsid w:val="7BF03249"/>
    <w:rsid w:val="7C174405"/>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3BEF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annotation text"/>
    <w:basedOn w:val="1"/>
    <w:unhideWhenUsed/>
    <w:qFormat/>
    <w:uiPriority w:val="99"/>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Theme="minorHAnsi" w:hAnsiTheme="minorHAnsi" w:eastAsiaTheme="minorEastAsia" w:cstheme="minorBidi"/>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0"/>
    <w:rPr>
      <w:color w:val="0000FF"/>
      <w:u w:val="none"/>
    </w:rPr>
  </w:style>
  <w:style w:type="character" w:customStyle="1" w:styleId="17">
    <w:name w:val="页眉 字符"/>
    <w:basedOn w:val="15"/>
    <w:link w:val="9"/>
    <w:qFormat/>
    <w:uiPriority w:val="99"/>
    <w:rPr>
      <w:sz w:val="18"/>
      <w:szCs w:val="18"/>
    </w:rPr>
  </w:style>
  <w:style w:type="character" w:customStyle="1" w:styleId="18">
    <w:name w:val="页脚 字符"/>
    <w:basedOn w:val="15"/>
    <w:link w:val="8"/>
    <w:qFormat/>
    <w:uiPriority w:val="99"/>
    <w:rPr>
      <w:sz w:val="18"/>
      <w:szCs w:val="18"/>
    </w:rPr>
  </w:style>
  <w:style w:type="character" w:customStyle="1" w:styleId="19">
    <w:name w:val="批注框文本 字符"/>
    <w:basedOn w:val="15"/>
    <w:link w:val="7"/>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1896</Words>
  <Characters>2048</Characters>
  <Lines>83</Lines>
  <Paragraphs>23</Paragraphs>
  <TotalTime>13</TotalTime>
  <ScaleCrop>false</ScaleCrop>
  <LinksUpToDate>false</LinksUpToDate>
  <CharactersWithSpaces>2049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2025-02-15T22:44:00Z</dcterms:created>
  <dc:creator>0002219</dc:creator>
  <cp:lastModifiedBy>华晟</cp:lastModifiedBy>
  <dcterms:modified xsi:type="dcterms:W3CDTF">2026-05-04T07:29:24Z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01FC761C3CA24E82B2CEF5A52A2FD977_13</vt:lpwstr>
  </property>
  <property fmtid="{D5CDD505-2E9C-101B-9397-08002B2CF9AE}" pid="4" name="KSOTemplateDocerSaveRecord">
    <vt:lpwstr>eyJoZGlkIjoiYThmYjFlYzc1ZWE5NTFmYjRlNzY1MzY2NGNiZGI5NjAiLCJ1c2VySWQiOiI1MzMwNzM1MjIifQ==</vt:lpwstr>
  </property>
</Properties>
</file>